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rPr>
      </w:pPr>
    </w:p>
    <w:p>
      <w:pPr>
        <w:rPr>
          <w:color w:val="000000" w:themeColor="text1"/>
        </w:rPr>
      </w:pPr>
      <w:r>
        <w:rPr>
          <w:rFonts w:hint="eastAsia"/>
          <w:color w:val="000000" w:themeColor="text1"/>
        </w:rPr>
        <w:t xml:space="preserve">        </w:t>
      </w:r>
    </w:p>
    <w:p>
      <w:pPr>
        <w:rPr>
          <w:color w:val="000000" w:themeColor="text1"/>
        </w:rPr>
      </w:pPr>
    </w:p>
    <w:p>
      <w:pPr>
        <w:spacing w:line="240" w:lineRule="auto"/>
        <w:rPr>
          <w:rFonts w:ascii="黑体" w:hAnsi="黑体" w:eastAsia="黑体"/>
          <w:color w:val="000000" w:themeColor="text1"/>
          <w:sz w:val="52"/>
          <w:szCs w:val="52"/>
        </w:rPr>
      </w:pPr>
      <w:r>
        <w:rPr>
          <w:rFonts w:hint="eastAsia" w:ascii="黑体" w:hAnsi="黑体" w:eastAsia="黑体"/>
          <w:color w:val="000000" w:themeColor="text1"/>
          <w:sz w:val="52"/>
          <w:szCs w:val="52"/>
        </w:rPr>
        <w:t>项目支出绩效评价报告</w:t>
      </w:r>
    </w:p>
    <w:p>
      <w:pPr>
        <w:rPr>
          <w:color w:val="000000" w:themeColor="text1"/>
        </w:rPr>
      </w:pPr>
    </w:p>
    <w:p>
      <w:pPr>
        <w:rPr>
          <w:color w:val="000000" w:themeColor="text1"/>
        </w:rPr>
      </w:pPr>
      <w:r>
        <w:rPr>
          <w:rFonts w:hint="eastAsia"/>
          <w:color w:val="000000" w:themeColor="text1"/>
          <w:sz w:val="44"/>
          <w:szCs w:val="44"/>
        </w:rPr>
        <w:t>（2023年度）</w:t>
      </w: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ind w:left="1276" w:leftChars="469"/>
        <w:jc w:val="both"/>
        <w:rPr>
          <w:color w:val="000000" w:themeColor="text1"/>
          <w:kern w:val="0"/>
        </w:rPr>
      </w:pPr>
      <w:r>
        <w:rPr>
          <w:rFonts w:hint="eastAsia"/>
          <w:color w:val="000000" w:themeColor="text1"/>
          <w:kern w:val="0"/>
        </w:rPr>
        <w:t>项目名称：</w:t>
      </w:r>
      <w:r>
        <w:rPr>
          <w:rFonts w:hint="eastAsia"/>
          <w:color w:val="000000" w:themeColor="text1"/>
        </w:rPr>
        <w:t>2023年经营收入成本性支出项目</w:t>
      </w:r>
    </w:p>
    <w:p>
      <w:pPr>
        <w:ind w:left="1276" w:leftChars="469"/>
        <w:jc w:val="both"/>
        <w:rPr>
          <w:color w:val="000000" w:themeColor="text1"/>
        </w:rPr>
      </w:pPr>
      <w:r>
        <w:rPr>
          <w:rFonts w:hint="eastAsia"/>
          <w:color w:val="000000" w:themeColor="text1"/>
        </w:rPr>
        <w:t>实施单位（公章）：新疆维吾尔自治区自然资源信息中心</w:t>
      </w:r>
    </w:p>
    <w:p>
      <w:pPr>
        <w:ind w:left="1276" w:leftChars="469"/>
        <w:jc w:val="both"/>
        <w:rPr>
          <w:color w:val="000000" w:themeColor="text1"/>
        </w:rPr>
      </w:pPr>
      <w:r>
        <w:rPr>
          <w:rFonts w:hint="eastAsia"/>
          <w:color w:val="000000" w:themeColor="text1"/>
        </w:rPr>
        <w:t>（新疆维吾尔自治区自然资源档案馆）</w:t>
      </w:r>
    </w:p>
    <w:p>
      <w:pPr>
        <w:ind w:left="1276" w:leftChars="469"/>
        <w:jc w:val="both"/>
        <w:rPr>
          <w:color w:val="000000" w:themeColor="text1"/>
        </w:rPr>
      </w:pPr>
      <w:r>
        <w:rPr>
          <w:rFonts w:hint="eastAsia"/>
          <w:color w:val="000000" w:themeColor="text1"/>
          <w:kern w:val="0"/>
        </w:rPr>
        <w:t>主管部门（公章）：</w:t>
      </w:r>
      <w:r>
        <w:rPr>
          <w:rStyle w:val="22"/>
          <w:rFonts w:hint="eastAsia"/>
          <w:b w:val="0"/>
          <w:bCs/>
          <w:color w:val="000000" w:themeColor="text1"/>
        </w:rPr>
        <w:t>新疆维吾尔自治区自然资源厅</w:t>
      </w:r>
    </w:p>
    <w:p>
      <w:pPr>
        <w:ind w:left="1276" w:leftChars="469"/>
        <w:jc w:val="both"/>
        <w:rPr>
          <w:rStyle w:val="22"/>
          <w:b w:val="0"/>
          <w:bCs w:val="0"/>
          <w:color w:val="000000" w:themeColor="text1"/>
        </w:rPr>
      </w:pPr>
      <w:r>
        <w:rPr>
          <w:rFonts w:hint="eastAsia"/>
          <w:color w:val="000000" w:themeColor="text1"/>
        </w:rPr>
        <w:t>项目负责人（签章）：龚丽春</w:t>
      </w:r>
    </w:p>
    <w:p>
      <w:pPr>
        <w:ind w:left="1276" w:leftChars="469"/>
        <w:jc w:val="both"/>
        <w:rPr>
          <w:rStyle w:val="22"/>
          <w:b w:val="0"/>
          <w:bCs w:val="0"/>
          <w:color w:val="000000" w:themeColor="text1"/>
        </w:rPr>
      </w:pPr>
      <w:r>
        <w:rPr>
          <w:rFonts w:hint="eastAsia"/>
          <w:color w:val="000000" w:themeColor="text1"/>
          <w:kern w:val="0"/>
        </w:rPr>
        <w:t>填报时间：</w:t>
      </w:r>
      <w:r>
        <w:rPr>
          <w:rStyle w:val="22"/>
          <w:rFonts w:hint="eastAsia"/>
          <w:b w:val="0"/>
          <w:bCs/>
          <w:color w:val="000000" w:themeColor="text1"/>
        </w:rPr>
        <w:t>2024年3月28日</w:t>
      </w:r>
    </w:p>
    <w:p>
      <w:pPr>
        <w:jc w:val="both"/>
        <w:rPr>
          <w:rStyle w:val="22"/>
          <w:rFonts w:ascii="黑体" w:hAnsi="黑体" w:eastAsia="黑体"/>
          <w:b w:val="0"/>
          <w:bCs/>
          <w:color w:val="000000" w:themeColor="text1"/>
        </w:rPr>
      </w:pPr>
    </w:p>
    <w:p>
      <w:pPr>
        <w:rPr>
          <w:rStyle w:val="22"/>
          <w:rFonts w:ascii="黑体" w:hAnsi="黑体" w:eastAsia="黑体"/>
          <w:b w:val="0"/>
          <w:bCs/>
          <w:color w:val="000000" w:themeColor="text1"/>
        </w:rPr>
        <w:sectPr>
          <w:footerReference r:id="rId5" w:type="default"/>
          <w:pgSz w:w="11906" w:h="16838"/>
          <w:pgMar w:top="1440" w:right="1558" w:bottom="1440" w:left="1800" w:header="851" w:footer="992" w:gutter="0"/>
          <w:pgNumType w:start="0"/>
          <w:cols w:space="425" w:num="1"/>
          <w:titlePg/>
          <w:docGrid w:type="lines" w:linePitch="381" w:charSpace="0"/>
        </w:sectPr>
      </w:pPr>
    </w:p>
    <w:sdt>
      <w:sdtPr>
        <w:rPr>
          <w:rFonts w:ascii="仿宋" w:hAnsi="仿宋" w:eastAsia="仿宋" w:cs="仿宋"/>
          <w:bCs w:val="0"/>
          <w:color w:val="auto"/>
          <w:spacing w:val="-4"/>
          <w:kern w:val="2"/>
          <w:lang w:val="zh-CN"/>
        </w:rPr>
        <w:id w:val="785769801"/>
        <w:docPartObj>
          <w:docPartGallery w:val="Table of Contents"/>
          <w:docPartUnique/>
        </w:docPartObj>
      </w:sdtPr>
      <w:sdtEndPr>
        <w:rPr>
          <w:rFonts w:ascii="仿宋" w:hAnsi="仿宋" w:eastAsia="仿宋" w:cs="仿宋"/>
          <w:bCs w:val="0"/>
          <w:color w:val="auto"/>
          <w:spacing w:val="-4"/>
          <w:kern w:val="2"/>
          <w:lang w:val="zh-CN"/>
        </w:rPr>
      </w:sdtEndPr>
      <w:sdtContent>
        <w:p>
          <w:pPr>
            <w:pStyle w:val="60"/>
            <w:spacing w:before="76"/>
            <w:jc w:val="center"/>
            <w:rPr>
              <w:color w:val="000000" w:themeColor="text1"/>
            </w:rPr>
          </w:pPr>
          <w:r>
            <w:rPr>
              <w:rFonts w:ascii="黑体" w:hAnsi="黑体" w:eastAsia="黑体"/>
              <w:b w:val="0"/>
              <w:color w:val="000000" w:themeColor="text1"/>
              <w:lang w:val="zh-CN"/>
            </w:rPr>
            <w:t>目</w:t>
          </w:r>
          <w:r>
            <w:rPr>
              <w:rFonts w:hint="eastAsia" w:ascii="黑体" w:hAnsi="黑体" w:eastAsia="黑体"/>
              <w:b w:val="0"/>
              <w:color w:val="000000" w:themeColor="text1"/>
              <w:lang w:val="zh-CN"/>
            </w:rPr>
            <w:t xml:space="preserve">  </w:t>
          </w:r>
          <w:r>
            <w:rPr>
              <w:rFonts w:ascii="黑体" w:hAnsi="黑体" w:eastAsia="黑体"/>
              <w:b w:val="0"/>
              <w:color w:val="000000" w:themeColor="text1"/>
              <w:lang w:val="zh-CN"/>
            </w:rPr>
            <w:t>录</w:t>
          </w:r>
          <w:r>
            <w:rPr>
              <w:rFonts w:hint="eastAsia"/>
              <w:color w:val="000000" w:themeColor="text1"/>
              <w:lang w:val="zh-CN"/>
            </w:rPr>
            <w:t xml:space="preserve">  </w:t>
          </w:r>
        </w:p>
        <w:p>
          <w:pPr>
            <w:pStyle w:val="15"/>
            <w:tabs>
              <w:tab w:val="right" w:leader="dot" w:pos="8538"/>
            </w:tabs>
            <w:spacing w:line="540" w:lineRule="exact"/>
            <w:rPr>
              <w:rFonts w:asciiTheme="minorHAnsi" w:hAnsiTheme="minorHAnsi" w:eastAsiaTheme="minorEastAsia" w:cstheme="minorBidi"/>
              <w:bCs w:val="0"/>
              <w:spacing w:val="0"/>
              <w:sz w:val="21"/>
              <w:szCs w:val="22"/>
            </w:rPr>
          </w:pPr>
          <w:r>
            <w:fldChar w:fldCharType="begin"/>
          </w:r>
          <w:r>
            <w:instrText xml:space="preserve"> TOC \o "1-3" \h \z \u </w:instrText>
          </w:r>
          <w:r>
            <w:fldChar w:fldCharType="separate"/>
          </w:r>
          <w:r>
            <w:fldChar w:fldCharType="begin"/>
          </w:r>
          <w:r>
            <w:instrText xml:space="preserve"> HYPERLINK \l "_Toc163410617" </w:instrText>
          </w:r>
          <w:r>
            <w:fldChar w:fldCharType="separate"/>
          </w:r>
          <w:r>
            <w:rPr>
              <w:rStyle w:val="24"/>
              <w:rFonts w:hint="eastAsia"/>
            </w:rPr>
            <w:t>一、基本情况</w:t>
          </w:r>
          <w:r>
            <w:tab/>
          </w:r>
          <w:r>
            <w:fldChar w:fldCharType="begin"/>
          </w:r>
          <w:r>
            <w:instrText xml:space="preserve"> PAGEREF _Toc163410617 \h </w:instrText>
          </w:r>
          <w:r>
            <w:fldChar w:fldCharType="separate"/>
          </w:r>
          <w:r>
            <w:t>1</w:t>
          </w:r>
          <w:r>
            <w:fldChar w:fldCharType="end"/>
          </w:r>
          <w:r>
            <w:fldChar w:fldCharType="end"/>
          </w:r>
        </w:p>
        <w:p>
          <w:pPr>
            <w:pStyle w:val="17"/>
            <w:tabs>
              <w:tab w:val="right" w:leader="dot" w:pos="8538"/>
            </w:tabs>
            <w:spacing w:line="540" w:lineRule="exact"/>
            <w:ind w:left="544"/>
            <w:rPr>
              <w:rFonts w:asciiTheme="minorHAnsi" w:hAnsiTheme="minorHAnsi" w:eastAsiaTheme="minorEastAsia" w:cstheme="minorBidi"/>
              <w:bCs w:val="0"/>
              <w:spacing w:val="0"/>
              <w:sz w:val="21"/>
              <w:szCs w:val="22"/>
            </w:rPr>
          </w:pPr>
          <w:r>
            <w:fldChar w:fldCharType="begin"/>
          </w:r>
          <w:r>
            <w:instrText xml:space="preserve"> HYPERLINK \l "_Toc163410618" </w:instrText>
          </w:r>
          <w:r>
            <w:fldChar w:fldCharType="separate"/>
          </w:r>
          <w:r>
            <w:rPr>
              <w:rStyle w:val="24"/>
              <w:rFonts w:hint="eastAsia"/>
            </w:rPr>
            <w:t>（一）项目概况</w:t>
          </w:r>
          <w:r>
            <w:tab/>
          </w:r>
          <w:r>
            <w:fldChar w:fldCharType="begin"/>
          </w:r>
          <w:r>
            <w:instrText xml:space="preserve"> PAGEREF _Toc163410618 \h </w:instrText>
          </w:r>
          <w:r>
            <w:fldChar w:fldCharType="separate"/>
          </w:r>
          <w:r>
            <w:t>1</w:t>
          </w:r>
          <w:r>
            <w:fldChar w:fldCharType="end"/>
          </w:r>
          <w:r>
            <w:fldChar w:fldCharType="end"/>
          </w:r>
        </w:p>
        <w:p>
          <w:pPr>
            <w:pStyle w:val="17"/>
            <w:tabs>
              <w:tab w:val="right" w:leader="dot" w:pos="8538"/>
            </w:tabs>
            <w:spacing w:line="540" w:lineRule="exact"/>
            <w:ind w:left="544"/>
            <w:rPr>
              <w:rFonts w:asciiTheme="minorHAnsi" w:hAnsiTheme="minorHAnsi" w:eastAsiaTheme="minorEastAsia" w:cstheme="minorBidi"/>
              <w:bCs w:val="0"/>
              <w:spacing w:val="0"/>
              <w:sz w:val="21"/>
              <w:szCs w:val="22"/>
            </w:rPr>
          </w:pPr>
          <w:r>
            <w:fldChar w:fldCharType="begin"/>
          </w:r>
          <w:r>
            <w:instrText xml:space="preserve"> HYPERLINK \l "_Toc163410619" </w:instrText>
          </w:r>
          <w:r>
            <w:fldChar w:fldCharType="separate"/>
          </w:r>
          <w:r>
            <w:rPr>
              <w:rStyle w:val="24"/>
              <w:rFonts w:hint="eastAsia"/>
            </w:rPr>
            <w:t>（二）项目绩效目标</w:t>
          </w:r>
          <w:r>
            <w:tab/>
          </w:r>
          <w:r>
            <w:fldChar w:fldCharType="begin"/>
          </w:r>
          <w:r>
            <w:instrText xml:space="preserve"> PAGEREF _Toc163410619 \h </w:instrText>
          </w:r>
          <w:r>
            <w:fldChar w:fldCharType="separate"/>
          </w:r>
          <w:r>
            <w:t>4</w:t>
          </w:r>
          <w:r>
            <w:fldChar w:fldCharType="end"/>
          </w:r>
          <w:r>
            <w:fldChar w:fldCharType="end"/>
          </w:r>
        </w:p>
        <w:p>
          <w:pPr>
            <w:pStyle w:val="15"/>
            <w:tabs>
              <w:tab w:val="right" w:leader="dot" w:pos="8538"/>
            </w:tabs>
            <w:spacing w:line="540" w:lineRule="exact"/>
            <w:rPr>
              <w:rFonts w:asciiTheme="minorHAnsi" w:hAnsiTheme="minorHAnsi" w:eastAsiaTheme="minorEastAsia" w:cstheme="minorBidi"/>
              <w:bCs w:val="0"/>
              <w:spacing w:val="0"/>
              <w:sz w:val="21"/>
              <w:szCs w:val="22"/>
            </w:rPr>
          </w:pPr>
          <w:r>
            <w:fldChar w:fldCharType="begin"/>
          </w:r>
          <w:r>
            <w:instrText xml:space="preserve"> HYPERLINK \l "_Toc163410620" </w:instrText>
          </w:r>
          <w:r>
            <w:fldChar w:fldCharType="separate"/>
          </w:r>
          <w:r>
            <w:rPr>
              <w:rStyle w:val="24"/>
              <w:rFonts w:hint="eastAsia"/>
            </w:rPr>
            <w:t>二、绩效评价工作开展情况</w:t>
          </w:r>
          <w:r>
            <w:tab/>
          </w:r>
          <w:r>
            <w:fldChar w:fldCharType="begin"/>
          </w:r>
          <w:r>
            <w:instrText xml:space="preserve"> PAGEREF _Toc163410620 \h </w:instrText>
          </w:r>
          <w:r>
            <w:fldChar w:fldCharType="separate"/>
          </w:r>
          <w:r>
            <w:t>7</w:t>
          </w:r>
          <w:r>
            <w:fldChar w:fldCharType="end"/>
          </w:r>
          <w:r>
            <w:fldChar w:fldCharType="end"/>
          </w:r>
        </w:p>
        <w:p>
          <w:pPr>
            <w:pStyle w:val="17"/>
            <w:tabs>
              <w:tab w:val="right" w:leader="dot" w:pos="8538"/>
            </w:tabs>
            <w:spacing w:line="540" w:lineRule="exact"/>
            <w:ind w:left="544"/>
            <w:rPr>
              <w:rFonts w:asciiTheme="minorHAnsi" w:hAnsiTheme="minorHAnsi" w:eastAsiaTheme="minorEastAsia" w:cstheme="minorBidi"/>
              <w:bCs w:val="0"/>
              <w:spacing w:val="0"/>
              <w:sz w:val="21"/>
              <w:szCs w:val="22"/>
            </w:rPr>
          </w:pPr>
          <w:r>
            <w:fldChar w:fldCharType="begin"/>
          </w:r>
          <w:r>
            <w:instrText xml:space="preserve"> HYPERLINK \l "_Toc163410621" </w:instrText>
          </w:r>
          <w:r>
            <w:fldChar w:fldCharType="separate"/>
          </w:r>
          <w:r>
            <w:rPr>
              <w:rStyle w:val="24"/>
              <w:rFonts w:hint="eastAsia"/>
            </w:rPr>
            <w:t>（一）绩效评价目的、对象和范围</w:t>
          </w:r>
          <w:r>
            <w:tab/>
          </w:r>
          <w:r>
            <w:fldChar w:fldCharType="begin"/>
          </w:r>
          <w:r>
            <w:instrText xml:space="preserve"> PAGEREF _Toc163410621 \h </w:instrText>
          </w:r>
          <w:r>
            <w:fldChar w:fldCharType="separate"/>
          </w:r>
          <w:r>
            <w:t>7</w:t>
          </w:r>
          <w:r>
            <w:fldChar w:fldCharType="end"/>
          </w:r>
          <w:r>
            <w:fldChar w:fldCharType="end"/>
          </w:r>
        </w:p>
        <w:p>
          <w:pPr>
            <w:pStyle w:val="17"/>
            <w:tabs>
              <w:tab w:val="right" w:leader="dot" w:pos="8538"/>
            </w:tabs>
            <w:spacing w:line="540" w:lineRule="exact"/>
            <w:ind w:left="544"/>
            <w:rPr>
              <w:rFonts w:asciiTheme="minorHAnsi" w:hAnsiTheme="minorHAnsi" w:eastAsiaTheme="minorEastAsia" w:cstheme="minorBidi"/>
              <w:bCs w:val="0"/>
              <w:spacing w:val="0"/>
              <w:sz w:val="21"/>
              <w:szCs w:val="22"/>
            </w:rPr>
          </w:pPr>
          <w:r>
            <w:fldChar w:fldCharType="begin"/>
          </w:r>
          <w:r>
            <w:instrText xml:space="preserve"> HYPERLINK \l "_Toc163410622" </w:instrText>
          </w:r>
          <w:r>
            <w:fldChar w:fldCharType="separate"/>
          </w:r>
          <w:r>
            <w:rPr>
              <w:rStyle w:val="24"/>
              <w:rFonts w:hint="eastAsia"/>
            </w:rPr>
            <w:t>（二）绩效评价原则、评价指标体系、评价方法、评价标准。</w:t>
          </w:r>
          <w:r>
            <w:tab/>
          </w:r>
          <w:r>
            <w:fldChar w:fldCharType="begin"/>
          </w:r>
          <w:r>
            <w:instrText xml:space="preserve"> PAGEREF _Toc163410622 \h </w:instrText>
          </w:r>
          <w:r>
            <w:fldChar w:fldCharType="separate"/>
          </w:r>
          <w:r>
            <w:t>8</w:t>
          </w:r>
          <w:r>
            <w:fldChar w:fldCharType="end"/>
          </w:r>
          <w:r>
            <w:fldChar w:fldCharType="end"/>
          </w:r>
        </w:p>
        <w:p>
          <w:pPr>
            <w:pStyle w:val="17"/>
            <w:tabs>
              <w:tab w:val="right" w:leader="dot" w:pos="8538"/>
            </w:tabs>
            <w:spacing w:line="540" w:lineRule="exact"/>
            <w:ind w:left="544"/>
            <w:rPr>
              <w:rFonts w:asciiTheme="minorHAnsi" w:hAnsiTheme="minorHAnsi" w:eastAsiaTheme="minorEastAsia" w:cstheme="minorBidi"/>
              <w:bCs w:val="0"/>
              <w:spacing w:val="0"/>
              <w:sz w:val="21"/>
              <w:szCs w:val="22"/>
            </w:rPr>
          </w:pPr>
          <w:r>
            <w:fldChar w:fldCharType="begin"/>
          </w:r>
          <w:r>
            <w:instrText xml:space="preserve"> HYPERLINK \l "_Toc163410623" </w:instrText>
          </w:r>
          <w:r>
            <w:fldChar w:fldCharType="separate"/>
          </w:r>
          <w:r>
            <w:rPr>
              <w:rStyle w:val="24"/>
              <w:rFonts w:hint="eastAsia"/>
            </w:rPr>
            <w:t>（三）绩效评价工作过程</w:t>
          </w:r>
          <w:r>
            <w:tab/>
          </w:r>
          <w:r>
            <w:fldChar w:fldCharType="begin"/>
          </w:r>
          <w:r>
            <w:instrText xml:space="preserve"> PAGEREF _Toc163410623 \h </w:instrText>
          </w:r>
          <w:r>
            <w:fldChar w:fldCharType="separate"/>
          </w:r>
          <w:r>
            <w:t>10</w:t>
          </w:r>
          <w:r>
            <w:fldChar w:fldCharType="end"/>
          </w:r>
          <w:r>
            <w:fldChar w:fldCharType="end"/>
          </w:r>
        </w:p>
        <w:p>
          <w:pPr>
            <w:pStyle w:val="15"/>
            <w:tabs>
              <w:tab w:val="right" w:leader="dot" w:pos="8538"/>
            </w:tabs>
            <w:spacing w:line="540" w:lineRule="exact"/>
            <w:rPr>
              <w:rFonts w:asciiTheme="minorHAnsi" w:hAnsiTheme="minorHAnsi" w:eastAsiaTheme="minorEastAsia" w:cstheme="minorBidi"/>
              <w:bCs w:val="0"/>
              <w:spacing w:val="0"/>
              <w:sz w:val="21"/>
              <w:szCs w:val="22"/>
            </w:rPr>
          </w:pPr>
          <w:r>
            <w:fldChar w:fldCharType="begin"/>
          </w:r>
          <w:r>
            <w:instrText xml:space="preserve"> HYPERLINK \l "_Toc163410624" </w:instrText>
          </w:r>
          <w:r>
            <w:fldChar w:fldCharType="separate"/>
          </w:r>
          <w:r>
            <w:rPr>
              <w:rStyle w:val="24"/>
              <w:rFonts w:hint="eastAsia"/>
            </w:rPr>
            <w:t>三、综合评价情况及评价结论（附相关评分表）</w:t>
          </w:r>
          <w:r>
            <w:tab/>
          </w:r>
          <w:r>
            <w:fldChar w:fldCharType="begin"/>
          </w:r>
          <w:r>
            <w:instrText xml:space="preserve"> PAGEREF _Toc163410624 \h </w:instrText>
          </w:r>
          <w:r>
            <w:fldChar w:fldCharType="separate"/>
          </w:r>
          <w:r>
            <w:t>12</w:t>
          </w:r>
          <w:r>
            <w:fldChar w:fldCharType="end"/>
          </w:r>
          <w:r>
            <w:fldChar w:fldCharType="end"/>
          </w:r>
        </w:p>
        <w:p>
          <w:pPr>
            <w:pStyle w:val="17"/>
            <w:tabs>
              <w:tab w:val="right" w:leader="dot" w:pos="8538"/>
            </w:tabs>
            <w:spacing w:line="540" w:lineRule="exact"/>
            <w:ind w:left="544"/>
            <w:rPr>
              <w:rFonts w:asciiTheme="minorHAnsi" w:hAnsiTheme="minorHAnsi" w:eastAsiaTheme="minorEastAsia" w:cstheme="minorBidi"/>
              <w:bCs w:val="0"/>
              <w:spacing w:val="0"/>
              <w:sz w:val="21"/>
              <w:szCs w:val="22"/>
            </w:rPr>
          </w:pPr>
          <w:r>
            <w:fldChar w:fldCharType="begin"/>
          </w:r>
          <w:r>
            <w:instrText xml:space="preserve"> HYPERLINK \l "_Toc163410625" </w:instrText>
          </w:r>
          <w:r>
            <w:fldChar w:fldCharType="separate"/>
          </w:r>
          <w:r>
            <w:rPr>
              <w:rStyle w:val="24"/>
              <w:rFonts w:hint="eastAsia"/>
            </w:rPr>
            <w:t>（一）综合评价情况</w:t>
          </w:r>
          <w:r>
            <w:tab/>
          </w:r>
          <w:r>
            <w:fldChar w:fldCharType="begin"/>
          </w:r>
          <w:r>
            <w:instrText xml:space="preserve"> PAGEREF _Toc163410625 \h </w:instrText>
          </w:r>
          <w:r>
            <w:fldChar w:fldCharType="separate"/>
          </w:r>
          <w:r>
            <w:t>12</w:t>
          </w:r>
          <w:r>
            <w:fldChar w:fldCharType="end"/>
          </w:r>
          <w:r>
            <w:fldChar w:fldCharType="end"/>
          </w:r>
        </w:p>
        <w:p>
          <w:pPr>
            <w:pStyle w:val="17"/>
            <w:tabs>
              <w:tab w:val="right" w:leader="dot" w:pos="8538"/>
            </w:tabs>
            <w:spacing w:line="540" w:lineRule="exact"/>
            <w:ind w:left="544"/>
            <w:rPr>
              <w:rFonts w:asciiTheme="minorHAnsi" w:hAnsiTheme="minorHAnsi" w:eastAsiaTheme="minorEastAsia" w:cstheme="minorBidi"/>
              <w:bCs w:val="0"/>
              <w:spacing w:val="0"/>
              <w:sz w:val="21"/>
              <w:szCs w:val="22"/>
            </w:rPr>
          </w:pPr>
          <w:r>
            <w:fldChar w:fldCharType="begin"/>
          </w:r>
          <w:r>
            <w:instrText xml:space="preserve"> HYPERLINK \l "_Toc163410626" </w:instrText>
          </w:r>
          <w:r>
            <w:fldChar w:fldCharType="separate"/>
          </w:r>
          <w:r>
            <w:rPr>
              <w:rStyle w:val="24"/>
              <w:rFonts w:hint="eastAsia"/>
            </w:rPr>
            <w:t>（二）综合评价结论</w:t>
          </w:r>
          <w:r>
            <w:tab/>
          </w:r>
          <w:r>
            <w:fldChar w:fldCharType="begin"/>
          </w:r>
          <w:r>
            <w:instrText xml:space="preserve"> PAGEREF _Toc163410626 \h </w:instrText>
          </w:r>
          <w:r>
            <w:fldChar w:fldCharType="separate"/>
          </w:r>
          <w:r>
            <w:t>12</w:t>
          </w:r>
          <w:r>
            <w:fldChar w:fldCharType="end"/>
          </w:r>
          <w:r>
            <w:fldChar w:fldCharType="end"/>
          </w:r>
        </w:p>
        <w:p>
          <w:pPr>
            <w:pStyle w:val="15"/>
            <w:tabs>
              <w:tab w:val="right" w:leader="dot" w:pos="8538"/>
            </w:tabs>
            <w:spacing w:line="540" w:lineRule="exact"/>
            <w:rPr>
              <w:rFonts w:asciiTheme="minorHAnsi" w:hAnsiTheme="minorHAnsi" w:eastAsiaTheme="minorEastAsia" w:cstheme="minorBidi"/>
              <w:bCs w:val="0"/>
              <w:spacing w:val="0"/>
              <w:sz w:val="21"/>
              <w:szCs w:val="22"/>
            </w:rPr>
          </w:pPr>
          <w:r>
            <w:fldChar w:fldCharType="begin"/>
          </w:r>
          <w:r>
            <w:instrText xml:space="preserve"> HYPERLINK \l "_Toc163410627" </w:instrText>
          </w:r>
          <w:r>
            <w:fldChar w:fldCharType="separate"/>
          </w:r>
          <w:r>
            <w:rPr>
              <w:rStyle w:val="24"/>
              <w:rFonts w:hint="eastAsia"/>
            </w:rPr>
            <w:t>四、绩效评价指标分析</w:t>
          </w:r>
          <w:r>
            <w:tab/>
          </w:r>
          <w:r>
            <w:fldChar w:fldCharType="begin"/>
          </w:r>
          <w:r>
            <w:instrText xml:space="preserve"> PAGEREF _Toc163410627 \h </w:instrText>
          </w:r>
          <w:r>
            <w:fldChar w:fldCharType="separate"/>
          </w:r>
          <w:r>
            <w:t>13</w:t>
          </w:r>
          <w:r>
            <w:fldChar w:fldCharType="end"/>
          </w:r>
          <w:r>
            <w:fldChar w:fldCharType="end"/>
          </w:r>
        </w:p>
        <w:p>
          <w:pPr>
            <w:pStyle w:val="17"/>
            <w:tabs>
              <w:tab w:val="right" w:leader="dot" w:pos="8538"/>
            </w:tabs>
            <w:spacing w:line="540" w:lineRule="exact"/>
            <w:ind w:left="544"/>
            <w:rPr>
              <w:rFonts w:asciiTheme="minorHAnsi" w:hAnsiTheme="minorHAnsi" w:eastAsiaTheme="minorEastAsia" w:cstheme="minorBidi"/>
              <w:bCs w:val="0"/>
              <w:spacing w:val="0"/>
              <w:sz w:val="21"/>
              <w:szCs w:val="22"/>
            </w:rPr>
          </w:pPr>
          <w:r>
            <w:fldChar w:fldCharType="begin"/>
          </w:r>
          <w:r>
            <w:instrText xml:space="preserve"> HYPERLINK \l "_Toc163410628" </w:instrText>
          </w:r>
          <w:r>
            <w:fldChar w:fldCharType="separate"/>
          </w:r>
          <w:r>
            <w:rPr>
              <w:rStyle w:val="24"/>
              <w:rFonts w:hint="eastAsia"/>
            </w:rPr>
            <w:t>（一）项目决策情况。</w:t>
          </w:r>
          <w:r>
            <w:tab/>
          </w:r>
          <w:r>
            <w:fldChar w:fldCharType="begin"/>
          </w:r>
          <w:r>
            <w:instrText xml:space="preserve"> PAGEREF _Toc163410628 \h </w:instrText>
          </w:r>
          <w:r>
            <w:fldChar w:fldCharType="separate"/>
          </w:r>
          <w:r>
            <w:t>13</w:t>
          </w:r>
          <w:r>
            <w:fldChar w:fldCharType="end"/>
          </w:r>
          <w:r>
            <w:fldChar w:fldCharType="end"/>
          </w:r>
        </w:p>
        <w:p>
          <w:pPr>
            <w:pStyle w:val="17"/>
            <w:tabs>
              <w:tab w:val="right" w:leader="dot" w:pos="8538"/>
            </w:tabs>
            <w:spacing w:line="540" w:lineRule="exact"/>
            <w:ind w:left="544"/>
            <w:rPr>
              <w:rFonts w:asciiTheme="minorHAnsi" w:hAnsiTheme="minorHAnsi" w:eastAsiaTheme="minorEastAsia" w:cstheme="minorBidi"/>
              <w:bCs w:val="0"/>
              <w:spacing w:val="0"/>
              <w:sz w:val="21"/>
              <w:szCs w:val="22"/>
            </w:rPr>
          </w:pPr>
          <w:r>
            <w:fldChar w:fldCharType="begin"/>
          </w:r>
          <w:r>
            <w:instrText xml:space="preserve"> HYPERLINK \l "_Toc163410629" </w:instrText>
          </w:r>
          <w:r>
            <w:fldChar w:fldCharType="separate"/>
          </w:r>
          <w:r>
            <w:rPr>
              <w:rStyle w:val="24"/>
              <w:rFonts w:hint="eastAsia"/>
            </w:rPr>
            <w:t>（二）项目过程情况</w:t>
          </w:r>
          <w:r>
            <w:tab/>
          </w:r>
          <w:r>
            <w:fldChar w:fldCharType="begin"/>
          </w:r>
          <w:r>
            <w:instrText xml:space="preserve"> PAGEREF _Toc163410629 \h </w:instrText>
          </w:r>
          <w:r>
            <w:fldChar w:fldCharType="separate"/>
          </w:r>
          <w:r>
            <w:t>15</w:t>
          </w:r>
          <w:r>
            <w:fldChar w:fldCharType="end"/>
          </w:r>
          <w:r>
            <w:fldChar w:fldCharType="end"/>
          </w:r>
        </w:p>
        <w:p>
          <w:pPr>
            <w:pStyle w:val="17"/>
            <w:tabs>
              <w:tab w:val="right" w:leader="dot" w:pos="8538"/>
            </w:tabs>
            <w:spacing w:line="540" w:lineRule="exact"/>
            <w:ind w:left="544"/>
            <w:rPr>
              <w:rFonts w:asciiTheme="minorHAnsi" w:hAnsiTheme="minorHAnsi" w:eastAsiaTheme="minorEastAsia" w:cstheme="minorBidi"/>
              <w:bCs w:val="0"/>
              <w:spacing w:val="0"/>
              <w:sz w:val="21"/>
              <w:szCs w:val="22"/>
            </w:rPr>
          </w:pPr>
          <w:r>
            <w:fldChar w:fldCharType="begin"/>
          </w:r>
          <w:r>
            <w:instrText xml:space="preserve"> HYPERLINK \l "_Toc163410630" </w:instrText>
          </w:r>
          <w:r>
            <w:fldChar w:fldCharType="separate"/>
          </w:r>
          <w:r>
            <w:rPr>
              <w:rStyle w:val="24"/>
              <w:rFonts w:hint="eastAsia"/>
            </w:rPr>
            <w:t>（三）项目产出情况</w:t>
          </w:r>
          <w:r>
            <w:tab/>
          </w:r>
          <w:r>
            <w:fldChar w:fldCharType="begin"/>
          </w:r>
          <w:r>
            <w:instrText xml:space="preserve"> PAGEREF _Toc163410630 \h </w:instrText>
          </w:r>
          <w:r>
            <w:fldChar w:fldCharType="separate"/>
          </w:r>
          <w:r>
            <w:t>17</w:t>
          </w:r>
          <w:r>
            <w:fldChar w:fldCharType="end"/>
          </w:r>
          <w:r>
            <w:fldChar w:fldCharType="end"/>
          </w:r>
        </w:p>
        <w:p>
          <w:pPr>
            <w:pStyle w:val="17"/>
            <w:tabs>
              <w:tab w:val="right" w:leader="dot" w:pos="8538"/>
            </w:tabs>
            <w:spacing w:line="540" w:lineRule="exact"/>
            <w:ind w:left="544"/>
            <w:rPr>
              <w:rFonts w:asciiTheme="minorHAnsi" w:hAnsiTheme="minorHAnsi" w:eastAsiaTheme="minorEastAsia" w:cstheme="minorBidi"/>
              <w:bCs w:val="0"/>
              <w:spacing w:val="0"/>
              <w:sz w:val="21"/>
              <w:szCs w:val="22"/>
            </w:rPr>
          </w:pPr>
          <w:r>
            <w:fldChar w:fldCharType="begin"/>
          </w:r>
          <w:r>
            <w:instrText xml:space="preserve"> HYPERLINK \l "_Toc163410631" </w:instrText>
          </w:r>
          <w:r>
            <w:fldChar w:fldCharType="separate"/>
          </w:r>
          <w:r>
            <w:rPr>
              <w:rStyle w:val="24"/>
              <w:rFonts w:hint="eastAsia"/>
            </w:rPr>
            <w:t>（四）项目效益情况</w:t>
          </w:r>
          <w:r>
            <w:tab/>
          </w:r>
          <w:r>
            <w:fldChar w:fldCharType="begin"/>
          </w:r>
          <w:r>
            <w:instrText xml:space="preserve"> PAGEREF _Toc163410631 \h </w:instrText>
          </w:r>
          <w:r>
            <w:fldChar w:fldCharType="separate"/>
          </w:r>
          <w:r>
            <w:t>18</w:t>
          </w:r>
          <w:r>
            <w:fldChar w:fldCharType="end"/>
          </w:r>
          <w:r>
            <w:fldChar w:fldCharType="end"/>
          </w:r>
        </w:p>
        <w:p>
          <w:pPr>
            <w:pStyle w:val="15"/>
            <w:tabs>
              <w:tab w:val="right" w:leader="dot" w:pos="8538"/>
            </w:tabs>
            <w:spacing w:line="540" w:lineRule="exact"/>
            <w:rPr>
              <w:rFonts w:asciiTheme="minorHAnsi" w:hAnsiTheme="minorHAnsi" w:eastAsiaTheme="minorEastAsia" w:cstheme="minorBidi"/>
              <w:bCs w:val="0"/>
              <w:spacing w:val="0"/>
              <w:sz w:val="21"/>
              <w:szCs w:val="22"/>
            </w:rPr>
          </w:pPr>
          <w:r>
            <w:fldChar w:fldCharType="begin"/>
          </w:r>
          <w:r>
            <w:instrText xml:space="preserve"> HYPERLINK \l "_Toc163410632" </w:instrText>
          </w:r>
          <w:r>
            <w:fldChar w:fldCharType="separate"/>
          </w:r>
          <w:r>
            <w:rPr>
              <w:rStyle w:val="24"/>
              <w:rFonts w:hint="eastAsia"/>
            </w:rPr>
            <w:t>五、预算执行进度与绩效指标偏差</w:t>
          </w:r>
          <w:r>
            <w:tab/>
          </w:r>
          <w:r>
            <w:fldChar w:fldCharType="begin"/>
          </w:r>
          <w:r>
            <w:instrText xml:space="preserve"> PAGEREF _Toc163410632 \h </w:instrText>
          </w:r>
          <w:r>
            <w:fldChar w:fldCharType="separate"/>
          </w:r>
          <w:r>
            <w:t>18</w:t>
          </w:r>
          <w:r>
            <w:fldChar w:fldCharType="end"/>
          </w:r>
          <w:r>
            <w:fldChar w:fldCharType="end"/>
          </w:r>
        </w:p>
        <w:p>
          <w:pPr>
            <w:pStyle w:val="15"/>
            <w:tabs>
              <w:tab w:val="right" w:leader="dot" w:pos="8538"/>
            </w:tabs>
            <w:spacing w:line="540" w:lineRule="exact"/>
            <w:rPr>
              <w:rFonts w:asciiTheme="minorHAnsi" w:hAnsiTheme="minorHAnsi" w:eastAsiaTheme="minorEastAsia" w:cstheme="minorBidi"/>
              <w:bCs w:val="0"/>
              <w:spacing w:val="0"/>
              <w:sz w:val="21"/>
              <w:szCs w:val="22"/>
            </w:rPr>
          </w:pPr>
          <w:r>
            <w:fldChar w:fldCharType="begin"/>
          </w:r>
          <w:r>
            <w:instrText xml:space="preserve"> HYPERLINK \l "_Toc163410633" </w:instrText>
          </w:r>
          <w:r>
            <w:fldChar w:fldCharType="separate"/>
          </w:r>
          <w:r>
            <w:rPr>
              <w:rStyle w:val="24"/>
              <w:rFonts w:hint="eastAsia"/>
            </w:rPr>
            <w:t>六、主要经验及做法、存在的问题及原因分析</w:t>
          </w:r>
          <w:r>
            <w:tab/>
          </w:r>
          <w:r>
            <w:fldChar w:fldCharType="begin"/>
          </w:r>
          <w:r>
            <w:instrText xml:space="preserve"> PAGEREF _Toc163410633 \h </w:instrText>
          </w:r>
          <w:r>
            <w:fldChar w:fldCharType="separate"/>
          </w:r>
          <w:r>
            <w:t>19</w:t>
          </w:r>
          <w:r>
            <w:fldChar w:fldCharType="end"/>
          </w:r>
          <w:r>
            <w:fldChar w:fldCharType="end"/>
          </w:r>
        </w:p>
        <w:p>
          <w:pPr>
            <w:pStyle w:val="17"/>
            <w:tabs>
              <w:tab w:val="right" w:leader="dot" w:pos="8538"/>
            </w:tabs>
            <w:spacing w:line="540" w:lineRule="exact"/>
            <w:ind w:left="544"/>
            <w:rPr>
              <w:rFonts w:asciiTheme="minorHAnsi" w:hAnsiTheme="minorHAnsi" w:eastAsiaTheme="minorEastAsia" w:cstheme="minorBidi"/>
              <w:bCs w:val="0"/>
              <w:spacing w:val="0"/>
              <w:sz w:val="21"/>
              <w:szCs w:val="22"/>
            </w:rPr>
          </w:pPr>
          <w:r>
            <w:fldChar w:fldCharType="begin"/>
          </w:r>
          <w:r>
            <w:instrText xml:space="preserve"> HYPERLINK \l "_Toc163410634" </w:instrText>
          </w:r>
          <w:r>
            <w:fldChar w:fldCharType="separate"/>
          </w:r>
          <w:r>
            <w:rPr>
              <w:rStyle w:val="24"/>
              <w:rFonts w:hint="eastAsia"/>
            </w:rPr>
            <w:t>（一）主要经验及做法</w:t>
          </w:r>
          <w:r>
            <w:tab/>
          </w:r>
          <w:r>
            <w:fldChar w:fldCharType="begin"/>
          </w:r>
          <w:r>
            <w:instrText xml:space="preserve"> PAGEREF _Toc163410634 \h </w:instrText>
          </w:r>
          <w:r>
            <w:fldChar w:fldCharType="separate"/>
          </w:r>
          <w:r>
            <w:t>19</w:t>
          </w:r>
          <w:r>
            <w:fldChar w:fldCharType="end"/>
          </w:r>
          <w:r>
            <w:fldChar w:fldCharType="end"/>
          </w:r>
        </w:p>
        <w:p>
          <w:pPr>
            <w:pStyle w:val="17"/>
            <w:tabs>
              <w:tab w:val="right" w:leader="dot" w:pos="8538"/>
            </w:tabs>
            <w:spacing w:line="540" w:lineRule="exact"/>
            <w:ind w:left="544"/>
            <w:rPr>
              <w:rFonts w:asciiTheme="minorHAnsi" w:hAnsiTheme="minorHAnsi" w:eastAsiaTheme="minorEastAsia" w:cstheme="minorBidi"/>
              <w:bCs w:val="0"/>
              <w:spacing w:val="0"/>
              <w:sz w:val="21"/>
              <w:szCs w:val="22"/>
            </w:rPr>
          </w:pPr>
          <w:r>
            <w:fldChar w:fldCharType="begin"/>
          </w:r>
          <w:r>
            <w:instrText xml:space="preserve"> HYPERLINK \l "_Toc163410635" </w:instrText>
          </w:r>
          <w:r>
            <w:fldChar w:fldCharType="separate"/>
          </w:r>
          <w:r>
            <w:rPr>
              <w:rStyle w:val="24"/>
              <w:rFonts w:hint="eastAsia"/>
            </w:rPr>
            <w:t>（二）存在问题及原因分析</w:t>
          </w:r>
          <w:r>
            <w:tab/>
          </w:r>
          <w:r>
            <w:fldChar w:fldCharType="begin"/>
          </w:r>
          <w:r>
            <w:instrText xml:space="preserve"> PAGEREF _Toc163410635 \h </w:instrText>
          </w:r>
          <w:r>
            <w:fldChar w:fldCharType="separate"/>
          </w:r>
          <w:r>
            <w:t>19</w:t>
          </w:r>
          <w:r>
            <w:fldChar w:fldCharType="end"/>
          </w:r>
          <w:r>
            <w:fldChar w:fldCharType="end"/>
          </w:r>
        </w:p>
        <w:p>
          <w:pPr>
            <w:pStyle w:val="15"/>
            <w:tabs>
              <w:tab w:val="right" w:leader="dot" w:pos="8538"/>
            </w:tabs>
            <w:spacing w:line="540" w:lineRule="exact"/>
            <w:rPr>
              <w:rFonts w:asciiTheme="minorHAnsi" w:hAnsiTheme="minorHAnsi" w:eastAsiaTheme="minorEastAsia" w:cstheme="minorBidi"/>
              <w:bCs w:val="0"/>
              <w:spacing w:val="0"/>
              <w:sz w:val="21"/>
              <w:szCs w:val="22"/>
            </w:rPr>
          </w:pPr>
          <w:r>
            <w:fldChar w:fldCharType="begin"/>
          </w:r>
          <w:r>
            <w:instrText xml:space="preserve"> HYPERLINK \l "_Toc163410636" </w:instrText>
          </w:r>
          <w:r>
            <w:fldChar w:fldCharType="separate"/>
          </w:r>
          <w:r>
            <w:rPr>
              <w:rStyle w:val="24"/>
              <w:rFonts w:hint="eastAsia"/>
            </w:rPr>
            <w:t>七、有关建议</w:t>
          </w:r>
          <w:r>
            <w:tab/>
          </w:r>
          <w:r>
            <w:fldChar w:fldCharType="begin"/>
          </w:r>
          <w:r>
            <w:instrText xml:space="preserve"> PAGEREF _Toc163410636 \h </w:instrText>
          </w:r>
          <w:r>
            <w:fldChar w:fldCharType="separate"/>
          </w:r>
          <w:r>
            <w:t>20</w:t>
          </w:r>
          <w:r>
            <w:fldChar w:fldCharType="end"/>
          </w:r>
          <w:r>
            <w:fldChar w:fldCharType="end"/>
          </w:r>
        </w:p>
        <w:p>
          <w:pPr>
            <w:pStyle w:val="15"/>
            <w:tabs>
              <w:tab w:val="right" w:leader="dot" w:pos="8538"/>
            </w:tabs>
            <w:spacing w:line="540" w:lineRule="exact"/>
            <w:rPr>
              <w:rFonts w:asciiTheme="minorHAnsi" w:hAnsiTheme="minorHAnsi" w:eastAsiaTheme="minorEastAsia" w:cstheme="minorBidi"/>
              <w:bCs w:val="0"/>
              <w:spacing w:val="0"/>
              <w:sz w:val="21"/>
              <w:szCs w:val="22"/>
            </w:rPr>
          </w:pPr>
          <w:r>
            <w:fldChar w:fldCharType="begin"/>
          </w:r>
          <w:r>
            <w:instrText xml:space="preserve"> HYPERLINK \l "_Toc163410637" </w:instrText>
          </w:r>
          <w:r>
            <w:fldChar w:fldCharType="separate"/>
          </w:r>
          <w:r>
            <w:rPr>
              <w:rStyle w:val="24"/>
              <w:rFonts w:hint="eastAsia"/>
            </w:rPr>
            <w:t>八、其他需要说明的问题</w:t>
          </w:r>
          <w:r>
            <w:tab/>
          </w:r>
          <w:r>
            <w:fldChar w:fldCharType="begin"/>
          </w:r>
          <w:r>
            <w:instrText xml:space="preserve"> PAGEREF _Toc163410637 \h </w:instrText>
          </w:r>
          <w:r>
            <w:fldChar w:fldCharType="separate"/>
          </w:r>
          <w:r>
            <w:t>21</w:t>
          </w:r>
          <w:r>
            <w:fldChar w:fldCharType="end"/>
          </w:r>
          <w:r>
            <w:fldChar w:fldCharType="end"/>
          </w:r>
        </w:p>
        <w:p>
          <w:pPr>
            <w:pStyle w:val="15"/>
            <w:tabs>
              <w:tab w:val="right" w:leader="dot" w:pos="8538"/>
            </w:tabs>
            <w:spacing w:line="540" w:lineRule="exact"/>
            <w:rPr>
              <w:rFonts w:asciiTheme="minorHAnsi" w:hAnsiTheme="minorHAnsi" w:eastAsiaTheme="minorEastAsia" w:cstheme="minorBidi"/>
              <w:bCs w:val="0"/>
              <w:spacing w:val="0"/>
              <w:sz w:val="21"/>
              <w:szCs w:val="22"/>
            </w:rPr>
          </w:pPr>
          <w:r>
            <w:fldChar w:fldCharType="begin"/>
          </w:r>
          <w:r>
            <w:instrText xml:space="preserve"> HYPERLINK \l "_Toc163410638" </w:instrText>
          </w:r>
          <w:r>
            <w:fldChar w:fldCharType="separate"/>
          </w:r>
          <w:r>
            <w:rPr>
              <w:rStyle w:val="24"/>
              <w:rFonts w:hint="eastAsia"/>
            </w:rPr>
            <w:t>附表</w:t>
          </w:r>
          <w:r>
            <w:tab/>
          </w:r>
          <w:r>
            <w:fldChar w:fldCharType="begin"/>
          </w:r>
          <w:r>
            <w:instrText xml:space="preserve"> PAGEREF _Toc163410638 \h </w:instrText>
          </w:r>
          <w:r>
            <w:fldChar w:fldCharType="separate"/>
          </w:r>
          <w:r>
            <w:t>22</w:t>
          </w:r>
          <w:r>
            <w:fldChar w:fldCharType="end"/>
          </w:r>
          <w:r>
            <w:fldChar w:fldCharType="end"/>
          </w:r>
        </w:p>
        <w:p>
          <w:pPr>
            <w:rPr>
              <w:rStyle w:val="22"/>
              <w:b w:val="0"/>
              <w:bCs/>
            </w:rPr>
          </w:pPr>
          <w:r>
            <w:rPr>
              <w:b/>
              <w:lang w:val="zh-CN"/>
            </w:rPr>
            <w:fldChar w:fldCharType="end"/>
          </w:r>
        </w:p>
      </w:sdtContent>
    </w:sdt>
    <w:p>
      <w:pPr>
        <w:rPr>
          <w:rStyle w:val="22"/>
          <w:rFonts w:ascii="黑体" w:hAnsi="黑体" w:eastAsia="黑体"/>
          <w:b w:val="0"/>
          <w:bCs/>
          <w:color w:val="000000" w:themeColor="text1"/>
        </w:rPr>
        <w:sectPr>
          <w:pgSz w:w="11906" w:h="16838"/>
          <w:pgMar w:top="1440" w:right="1558" w:bottom="1440" w:left="1800" w:header="851" w:footer="992" w:gutter="0"/>
          <w:pgNumType w:fmt="upperRoman" w:start="1"/>
          <w:cols w:space="425" w:num="1"/>
          <w:titlePg/>
          <w:docGrid w:type="lines" w:linePitch="381" w:charSpace="0"/>
        </w:sectPr>
      </w:pPr>
    </w:p>
    <w:p>
      <w:pPr>
        <w:pStyle w:val="2"/>
        <w:spacing w:before="62"/>
        <w:ind w:firstLine="624" w:firstLineChars="200"/>
        <w:rPr>
          <w:rFonts w:ascii="方正黑体_GBK" w:hAnsi="方正黑体_GBK" w:eastAsia="方正黑体_GBK" w:cs="方正黑体_GBK"/>
          <w:b/>
          <w:spacing w:val="0"/>
          <w:kern w:val="2"/>
        </w:rPr>
      </w:pPr>
      <w:bookmarkStart w:id="0" w:name="_Toc163410617"/>
      <w:r>
        <w:t>一、</w:t>
      </w:r>
      <w:r>
        <w:rPr>
          <w:rFonts w:hint="eastAsia" w:ascii="方正黑体_GBK" w:hAnsi="方正黑体_GBK" w:eastAsia="方正黑体_GBK" w:cs="方正黑体_GBK"/>
          <w:b/>
          <w:spacing w:val="0"/>
          <w:kern w:val="2"/>
        </w:rPr>
        <w:t>基本情况</w:t>
      </w:r>
      <w:bookmarkEnd w:id="0"/>
    </w:p>
    <w:p>
      <w:pPr>
        <w:pStyle w:val="3"/>
        <w:ind w:firstLine="562" w:firstLineChars="200"/>
        <w:rPr>
          <w:rFonts w:ascii="仿宋" w:hAnsi="仿宋" w:eastAsia="仿宋"/>
          <w:b/>
          <w:iCs w:val="0"/>
          <w:spacing w:val="0"/>
          <w:sz w:val="28"/>
          <w:szCs w:val="28"/>
        </w:rPr>
      </w:pPr>
      <w:bookmarkStart w:id="1" w:name="_Toc163410618"/>
      <w:r>
        <w:rPr>
          <w:rFonts w:hint="eastAsia" w:ascii="仿宋" w:hAnsi="仿宋" w:eastAsia="仿宋"/>
          <w:b/>
          <w:iCs w:val="0"/>
          <w:spacing w:val="0"/>
          <w:sz w:val="28"/>
          <w:szCs w:val="28"/>
        </w:rPr>
        <w:t>（一）项目概况</w:t>
      </w:r>
      <w:bookmarkEnd w:id="1"/>
    </w:p>
    <w:p>
      <w:pPr>
        <w:pStyle w:val="52"/>
        <w:spacing w:line="560" w:lineRule="exact"/>
        <w:ind w:firstLine="562" w:firstLineChars="200"/>
        <w:jc w:val="both"/>
        <w:rPr>
          <w:rFonts w:cs="仿宋"/>
          <w:b/>
          <w:spacing w:val="0"/>
        </w:rPr>
      </w:pPr>
      <w:r>
        <w:rPr>
          <w:rFonts w:hint="eastAsia" w:cs="仿宋"/>
          <w:b/>
          <w:spacing w:val="0"/>
        </w:rPr>
        <w:t>1.项目背景</w:t>
      </w:r>
    </w:p>
    <w:p>
      <w:pPr>
        <w:spacing w:line="560" w:lineRule="exact"/>
        <w:ind w:firstLine="560" w:firstLineChars="200"/>
        <w:jc w:val="both"/>
        <w:rPr>
          <w:bCs w:val="0"/>
          <w:color w:val="000000"/>
          <w:spacing w:val="0"/>
          <w:szCs w:val="22"/>
        </w:rPr>
      </w:pPr>
      <w:r>
        <w:rPr>
          <w:rFonts w:hint="eastAsia"/>
          <w:bCs w:val="0"/>
          <w:color w:val="000000"/>
          <w:spacing w:val="0"/>
          <w:szCs w:val="22"/>
        </w:rPr>
        <w:t>根据《事业单位财务规则》（财政部令第108号）第四章第二十二条，事业单位应当将各项支出全部纳入单位预算，实行项目库管理，建立健全支出管理制度等规定，新疆维吾尔自治区自然资源信息中心（新维吾尔自治区自然资源档案馆）（以下简称“信息中心”）依据2022年度经营性项目开展情况及2022年相关经营性支出实际情况，将2023年度经营收入成本性支出项目纳入预算263万元。</w:t>
      </w:r>
    </w:p>
    <w:p>
      <w:pPr>
        <w:spacing w:line="560" w:lineRule="exact"/>
        <w:ind w:firstLine="560" w:firstLineChars="200"/>
        <w:jc w:val="both"/>
        <w:rPr>
          <w:bCs w:val="0"/>
          <w:color w:val="000000"/>
          <w:spacing w:val="0"/>
          <w:szCs w:val="22"/>
        </w:rPr>
      </w:pPr>
      <w:r>
        <w:rPr>
          <w:rFonts w:hint="eastAsia"/>
          <w:bCs w:val="0"/>
          <w:color w:val="000000"/>
          <w:spacing w:val="0"/>
          <w:szCs w:val="22"/>
        </w:rPr>
        <w:t>根据《项目支出绩效评价管理办法》（财预〔2020〕10号）《自治区财政支出绩效评价管理暂行办法》（新财预〔2018〕189号），信息中心将2023年度经营收入成本性支出纳入预算绩效管理，旨在评价2023年经营收入成本性支出项目实施前期、过程及效果，评价财政预算资金使用的效率及效益。</w:t>
      </w:r>
    </w:p>
    <w:p>
      <w:pPr>
        <w:pStyle w:val="52"/>
        <w:spacing w:line="560" w:lineRule="exact"/>
        <w:ind w:firstLine="562" w:firstLineChars="200"/>
        <w:jc w:val="both"/>
        <w:rPr>
          <w:rFonts w:cs="仿宋"/>
          <w:b/>
          <w:spacing w:val="0"/>
        </w:rPr>
      </w:pPr>
      <w:r>
        <w:rPr>
          <w:rFonts w:hint="eastAsia" w:cs="仿宋"/>
          <w:b/>
          <w:spacing w:val="0"/>
        </w:rPr>
        <w:t>2.主要内容及实施情况</w:t>
      </w:r>
    </w:p>
    <w:p>
      <w:pPr>
        <w:pStyle w:val="52"/>
        <w:spacing w:line="560" w:lineRule="exact"/>
        <w:ind w:firstLine="562" w:firstLineChars="200"/>
        <w:jc w:val="both"/>
        <w:rPr>
          <w:rFonts w:cs="仿宋"/>
          <w:b/>
          <w:spacing w:val="0"/>
        </w:rPr>
      </w:pPr>
      <w:r>
        <w:rPr>
          <w:rFonts w:hint="eastAsia" w:cs="仿宋"/>
          <w:b/>
          <w:spacing w:val="0"/>
        </w:rPr>
        <w:t>（1）主要内容</w:t>
      </w:r>
    </w:p>
    <w:p>
      <w:pPr>
        <w:spacing w:line="560" w:lineRule="exact"/>
        <w:ind w:firstLine="560" w:firstLineChars="200"/>
        <w:jc w:val="both"/>
        <w:rPr>
          <w:bCs w:val="0"/>
          <w:color w:val="000000"/>
          <w:spacing w:val="0"/>
          <w:szCs w:val="22"/>
        </w:rPr>
      </w:pPr>
      <w:r>
        <w:rPr>
          <w:rFonts w:hint="eastAsia"/>
          <w:bCs w:val="0"/>
          <w:color w:val="000000"/>
          <w:spacing w:val="0"/>
          <w:szCs w:val="22"/>
        </w:rPr>
        <w:t>信息中心2023年度经营性项目基本情况如下：</w:t>
      </w:r>
    </w:p>
    <w:p>
      <w:pPr>
        <w:spacing w:line="560" w:lineRule="exact"/>
        <w:ind w:firstLine="560" w:firstLineChars="200"/>
        <w:jc w:val="both"/>
        <w:rPr>
          <w:bCs w:val="0"/>
          <w:color w:val="000000"/>
          <w:spacing w:val="0"/>
          <w:szCs w:val="22"/>
        </w:rPr>
      </w:pPr>
      <w:r>
        <w:rPr>
          <w:rFonts w:hint="eastAsia"/>
          <w:bCs w:val="0"/>
          <w:color w:val="000000"/>
          <w:spacing w:val="0"/>
          <w:szCs w:val="22"/>
        </w:rPr>
        <w:t>①新疆区域地质钻孔结构化数据采集项目（2023年度）。项目来源于自然资源部实物地质资料中心委托，项目周期为2023年4月至12月。在新疆重要地质钻孔数据库建设的基础上，提取采集重要地质钻孔的分层数据和重要样品分析数据，完成新疆区域1000个地质调查钻孔“三图一表”及结构化数据的更新采集工作。</w:t>
      </w:r>
    </w:p>
    <w:p>
      <w:pPr>
        <w:spacing w:line="560" w:lineRule="exact"/>
        <w:ind w:firstLine="560" w:firstLineChars="200"/>
        <w:jc w:val="both"/>
        <w:rPr>
          <w:bCs w:val="0"/>
          <w:color w:val="000000"/>
          <w:spacing w:val="0"/>
          <w:szCs w:val="22"/>
        </w:rPr>
      </w:pPr>
      <w:r>
        <w:rPr>
          <w:rFonts w:hint="eastAsia"/>
          <w:bCs w:val="0"/>
          <w:color w:val="000000"/>
          <w:spacing w:val="0"/>
          <w:szCs w:val="22"/>
        </w:rPr>
        <w:t>②吐鲁番市、托克逊县、鄯善县（以下简称“一市两县”）规划一张图项目，该项目是2020年的延续项目。项目周期为2023年1月至12月，项目内容为建设国土空间规划“一张图”实施监督信息系统，为“一市两县”国土空间规划的编制、审批、监管、分析提供数据支撑和技术支撑。</w:t>
      </w:r>
    </w:p>
    <w:p>
      <w:pPr>
        <w:spacing w:line="560" w:lineRule="exact"/>
        <w:ind w:firstLine="560" w:firstLineChars="200"/>
        <w:jc w:val="both"/>
        <w:rPr>
          <w:bCs w:val="0"/>
          <w:color w:val="000000"/>
          <w:spacing w:val="0"/>
          <w:szCs w:val="22"/>
        </w:rPr>
      </w:pPr>
      <w:r>
        <w:rPr>
          <w:rFonts w:hint="eastAsia"/>
          <w:bCs w:val="0"/>
          <w:color w:val="000000"/>
          <w:spacing w:val="0"/>
          <w:szCs w:val="22"/>
        </w:rPr>
        <w:t>③计算机制图技术服务项目。项目周期为2023年1月至12月。主要是按照信息中心职能协助完成审批建设用地、建设用地选址、征迁方案等工作中的制图工作。</w:t>
      </w:r>
    </w:p>
    <w:p>
      <w:pPr>
        <w:spacing w:line="560" w:lineRule="exact"/>
        <w:ind w:firstLine="560" w:firstLineChars="200"/>
        <w:jc w:val="both"/>
        <w:rPr>
          <w:bCs w:val="0"/>
          <w:color w:val="000000"/>
          <w:spacing w:val="0"/>
          <w:szCs w:val="22"/>
        </w:rPr>
      </w:pPr>
      <w:r>
        <w:rPr>
          <w:rFonts w:hint="eastAsia"/>
          <w:bCs w:val="0"/>
          <w:color w:val="000000"/>
          <w:spacing w:val="0"/>
          <w:szCs w:val="22"/>
        </w:rPr>
        <w:t>④库尔勒市、伊宁市地价动态监测体系维护工作。项目来源于库尔勒市、伊宁市自然资源局招标项目。项目周期为2023年1月至12月，主要完成库尔勒市、伊宁市商业、居住及工业监测点动态监测数据采集、测算，编制监测点位置图及监测体系维护等工作。</w:t>
      </w:r>
    </w:p>
    <w:p>
      <w:pPr>
        <w:spacing w:line="560" w:lineRule="exact"/>
        <w:ind w:firstLine="560" w:firstLineChars="200"/>
        <w:jc w:val="both"/>
        <w:rPr>
          <w:bCs w:val="0"/>
          <w:color w:val="000000"/>
          <w:spacing w:val="0"/>
          <w:szCs w:val="22"/>
        </w:rPr>
      </w:pPr>
      <w:r>
        <w:rPr>
          <w:rFonts w:hint="eastAsia"/>
          <w:bCs w:val="0"/>
          <w:color w:val="000000"/>
          <w:spacing w:val="0"/>
          <w:szCs w:val="22"/>
        </w:rPr>
        <w:t>⑤自治区地质调查院业务网技术服务项目。项目周期为2023年1月至12月，项目内容为运行维护中心机房到自治区地质调查院自然资源业务网，确保网络资源、计算资源等正常使用。</w:t>
      </w:r>
    </w:p>
    <w:p>
      <w:pPr>
        <w:spacing w:line="560" w:lineRule="exact"/>
        <w:ind w:firstLine="560" w:firstLineChars="200"/>
        <w:jc w:val="both"/>
        <w:rPr>
          <w:bCs w:val="0"/>
          <w:color w:val="000000"/>
          <w:spacing w:val="0"/>
          <w:szCs w:val="22"/>
        </w:rPr>
      </w:pPr>
      <w:r>
        <w:rPr>
          <w:rFonts w:hint="eastAsia"/>
          <w:bCs w:val="0"/>
          <w:color w:val="000000"/>
          <w:spacing w:val="0"/>
          <w:szCs w:val="22"/>
        </w:rPr>
        <w:t>⑥矿山三维数据采集与建模技术服务。项目周期为2023年1月至12月，通过采集矿区范围内激光雷达点云数据及无人机拍摄的视频及照片，构建铁矿区实景三维数据模型，实现矿区数据可视化管理和监测。</w:t>
      </w:r>
    </w:p>
    <w:p>
      <w:pPr>
        <w:pStyle w:val="52"/>
        <w:spacing w:line="560" w:lineRule="exact"/>
        <w:ind w:firstLine="562" w:firstLineChars="200"/>
        <w:jc w:val="both"/>
        <w:rPr>
          <w:rFonts w:cs="仿宋"/>
          <w:b/>
          <w:spacing w:val="0"/>
        </w:rPr>
      </w:pPr>
      <w:r>
        <w:rPr>
          <w:rFonts w:hint="eastAsia" w:cs="仿宋"/>
          <w:b/>
          <w:spacing w:val="0"/>
        </w:rPr>
        <w:t>（2）实施情况</w:t>
      </w:r>
    </w:p>
    <w:p>
      <w:pPr>
        <w:spacing w:line="560" w:lineRule="exact"/>
        <w:ind w:firstLine="560" w:firstLineChars="200"/>
        <w:jc w:val="both"/>
        <w:rPr>
          <w:bCs w:val="0"/>
          <w:color w:val="000000"/>
          <w:spacing w:val="0"/>
          <w:szCs w:val="22"/>
        </w:rPr>
      </w:pPr>
      <w:r>
        <w:rPr>
          <w:rFonts w:hint="eastAsia"/>
          <w:bCs w:val="0"/>
          <w:color w:val="000000"/>
          <w:spacing w:val="0"/>
          <w:szCs w:val="22"/>
        </w:rPr>
        <w:t>目前已经完成实际设立的目标，项目在实施过程中严格按照目标设立的各阶段任务进行开展工作，在前期立项过程中严格把质量关，建立安全防护机制，保证项目实施各阶段安全顺利进行。</w:t>
      </w:r>
    </w:p>
    <w:p>
      <w:pPr>
        <w:pStyle w:val="52"/>
        <w:spacing w:line="560" w:lineRule="exact"/>
        <w:ind w:firstLine="562" w:firstLineChars="200"/>
        <w:jc w:val="both"/>
        <w:rPr>
          <w:rFonts w:cs="仿宋"/>
          <w:b/>
          <w:spacing w:val="0"/>
        </w:rPr>
      </w:pPr>
      <w:r>
        <w:rPr>
          <w:rFonts w:hint="eastAsia" w:cs="仿宋"/>
          <w:b/>
          <w:spacing w:val="0"/>
        </w:rPr>
        <w:t>3.项目实施主体</w:t>
      </w:r>
    </w:p>
    <w:p>
      <w:pPr>
        <w:pStyle w:val="52"/>
        <w:spacing w:line="560" w:lineRule="exact"/>
        <w:ind w:firstLine="560" w:firstLineChars="200"/>
        <w:jc w:val="both"/>
        <w:rPr>
          <w:rFonts w:cs="仿宋"/>
          <w:bCs w:val="0"/>
          <w:color w:val="000000"/>
          <w:spacing w:val="0"/>
          <w:kern w:val="2"/>
          <w:szCs w:val="22"/>
        </w:rPr>
      </w:pPr>
      <w:r>
        <w:rPr>
          <w:rFonts w:hint="eastAsia" w:cs="仿宋"/>
          <w:bCs w:val="0"/>
          <w:color w:val="000000"/>
          <w:spacing w:val="0"/>
          <w:kern w:val="2"/>
          <w:szCs w:val="22"/>
        </w:rPr>
        <w:t>项目实施主体为新疆维吾尔自治区自然资源信息中心（新疆维吾尔自治区自然资源档案馆），自治区自然资源厅直属公益一类事业单位；内设科（室）12个，分别为办公室（党办）、计划财务科、规划综合科、系统运行科、网络管理科、数据监测分析室、窗口办</w:t>
      </w:r>
      <w:r>
        <w:rPr>
          <w:rFonts w:hint="eastAsia" w:cs="仿宋"/>
          <w:bCs w:val="0"/>
          <w:color w:val="000000"/>
          <w:spacing w:val="0"/>
          <w:kern w:val="2"/>
          <w:szCs w:val="22"/>
          <w:lang w:val="en-US" w:eastAsia="zh-CN"/>
        </w:rPr>
        <w:t>公</w:t>
      </w:r>
      <w:r>
        <w:rPr>
          <w:rFonts w:hint="eastAsia" w:cs="仿宋"/>
          <w:bCs w:val="0"/>
          <w:color w:val="000000"/>
          <w:spacing w:val="0"/>
          <w:kern w:val="2"/>
          <w:szCs w:val="22"/>
        </w:rPr>
        <w:t>室、</w:t>
      </w:r>
      <w:bookmarkStart w:id="24" w:name="_GoBack"/>
      <w:bookmarkEnd w:id="24"/>
      <w:r>
        <w:rPr>
          <w:rFonts w:hint="eastAsia" w:cs="仿宋"/>
          <w:bCs w:val="0"/>
          <w:color w:val="000000"/>
          <w:spacing w:val="0"/>
          <w:kern w:val="2"/>
          <w:szCs w:val="22"/>
        </w:rPr>
        <w:t>档案资料查阅科、档案资料整理科、数据汇交科、激光雷达技术研究所、信息技术咨询服务部。</w:t>
      </w:r>
    </w:p>
    <w:p>
      <w:pPr>
        <w:pStyle w:val="52"/>
        <w:spacing w:line="560" w:lineRule="exact"/>
        <w:ind w:firstLine="560" w:firstLineChars="200"/>
        <w:jc w:val="both"/>
        <w:rPr>
          <w:rFonts w:cs="仿宋"/>
          <w:bCs w:val="0"/>
          <w:color w:val="000000"/>
          <w:spacing w:val="0"/>
          <w:kern w:val="2"/>
          <w:szCs w:val="22"/>
        </w:rPr>
      </w:pPr>
      <w:r>
        <w:rPr>
          <w:rFonts w:hint="eastAsia" w:cs="仿宋"/>
          <w:bCs w:val="0"/>
          <w:color w:val="000000"/>
          <w:spacing w:val="0"/>
          <w:kern w:val="2"/>
          <w:szCs w:val="22"/>
        </w:rPr>
        <w:t>主要承担的职责，一是自然资源信息化、网络建设、自然资源基础信息和资源利用情况、变化趋势动态数据的收集、技术处理及预测分析；二是拟定全区地质资料、地质科技档案管理制度，承担全区汇交的成果、原始、实物地质资料的接收、整理、保管、借阅和地质资料的密级、保管期限管理、向全国地质资料馆汇交地质资料；承担矿产资源勘查开发业务咨询服务和地质资料二次开发、综合研究等工作；管理厅机关综合档案资料；负责对自治区自然资源系统进行档案管理业务指导和管理人员的业务培训。</w:t>
      </w:r>
    </w:p>
    <w:p>
      <w:pPr>
        <w:spacing w:line="560" w:lineRule="exact"/>
        <w:ind w:firstLine="560" w:firstLineChars="200"/>
        <w:jc w:val="both"/>
        <w:rPr>
          <w:bCs w:val="0"/>
          <w:color w:val="000000"/>
          <w:spacing w:val="0"/>
          <w:szCs w:val="22"/>
        </w:rPr>
      </w:pPr>
      <w:r>
        <w:rPr>
          <w:rFonts w:hint="eastAsia"/>
          <w:bCs w:val="0"/>
          <w:color w:val="000000"/>
          <w:spacing w:val="0"/>
          <w:szCs w:val="22"/>
        </w:rPr>
        <w:t>截止2023年，事业编制50人，实有在编人员39人，事业退休人员18人。</w:t>
      </w:r>
    </w:p>
    <w:p>
      <w:pPr>
        <w:pStyle w:val="52"/>
        <w:spacing w:line="560" w:lineRule="exact"/>
        <w:ind w:firstLine="562" w:firstLineChars="200"/>
        <w:jc w:val="both"/>
        <w:rPr>
          <w:rFonts w:cs="仿宋"/>
          <w:b/>
          <w:spacing w:val="0"/>
        </w:rPr>
      </w:pPr>
      <w:r>
        <w:rPr>
          <w:rFonts w:hint="eastAsia" w:cs="仿宋"/>
          <w:b/>
          <w:spacing w:val="0"/>
        </w:rPr>
        <w:t>4.资金投入和使用情况</w:t>
      </w:r>
    </w:p>
    <w:p>
      <w:pPr>
        <w:spacing w:line="560" w:lineRule="exact"/>
        <w:ind w:firstLine="560" w:firstLineChars="200"/>
        <w:jc w:val="both"/>
        <w:rPr>
          <w:bCs w:val="0"/>
          <w:color w:val="000000"/>
          <w:spacing w:val="0"/>
          <w:szCs w:val="22"/>
        </w:rPr>
      </w:pPr>
      <w:r>
        <w:rPr>
          <w:rFonts w:hint="eastAsia"/>
          <w:bCs w:val="0"/>
          <w:color w:val="000000"/>
          <w:spacing w:val="0"/>
          <w:szCs w:val="22"/>
        </w:rPr>
        <w:t>（1）资金投入情况：该项目年初预算数263万元，资金性质为单位资金，实际总投入224.98万元，该项目资金已全部落实到位，资金来源为本年财政经营收入。</w:t>
      </w:r>
    </w:p>
    <w:p>
      <w:pPr>
        <w:spacing w:line="560" w:lineRule="exact"/>
        <w:ind w:firstLine="560" w:firstLineChars="200"/>
        <w:jc w:val="both"/>
        <w:rPr>
          <w:bCs w:val="0"/>
          <w:color w:val="000000"/>
          <w:spacing w:val="0"/>
          <w:szCs w:val="22"/>
        </w:rPr>
      </w:pPr>
      <w:r>
        <w:rPr>
          <w:rFonts w:hint="eastAsia"/>
          <w:bCs w:val="0"/>
          <w:color w:val="000000"/>
          <w:spacing w:val="0"/>
          <w:szCs w:val="22"/>
        </w:rPr>
        <w:t>（2）资金使用情况：该项目年初预算数263万元，全年执行数224.98万元，预算执行率为85.54%，其中：其他社会保障缴费3.21万元、办公费0.066万元、咨询费0.33万元、手续费0.18万元、差旅费12.94万元、维修（护）费0.76万元、培训费0.48万元、劳务费0.25万元、委托业务费123.32万元、福利费5.53万元、其他交通费0.032万元、税金及附加费用17.46万元、其他商品和服务支出5.02万元、专用设备购置54.92万元、信息网络及软件购置更新0.48万元。</w:t>
      </w:r>
    </w:p>
    <w:p>
      <w:pPr>
        <w:pStyle w:val="53"/>
        <w:keepLines/>
        <w:widowControl w:val="0"/>
        <w:spacing w:after="60"/>
        <w:ind w:left="544"/>
        <w:rPr>
          <w:rFonts w:ascii="仿宋" w:hAnsi="仿宋" w:eastAsia="仿宋"/>
          <w:b/>
          <w:iCs w:val="0"/>
          <w:spacing w:val="0"/>
          <w:sz w:val="28"/>
          <w:szCs w:val="28"/>
        </w:rPr>
      </w:pPr>
      <w:bookmarkStart w:id="2" w:name="_Toc163410619"/>
      <w:r>
        <w:rPr>
          <w:rFonts w:hint="eastAsia" w:ascii="仿宋" w:hAnsi="仿宋" w:eastAsia="仿宋"/>
          <w:b/>
          <w:iCs w:val="0"/>
          <w:spacing w:val="0"/>
          <w:sz w:val="28"/>
          <w:szCs w:val="28"/>
        </w:rPr>
        <w:t>（二）项目绩效目标</w:t>
      </w:r>
      <w:bookmarkEnd w:id="2"/>
    </w:p>
    <w:p>
      <w:pPr>
        <w:spacing w:line="560" w:lineRule="exact"/>
        <w:ind w:firstLine="560" w:firstLineChars="200"/>
        <w:jc w:val="left"/>
        <w:rPr>
          <w:bCs w:val="0"/>
          <w:spacing w:val="0"/>
          <w:kern w:val="0"/>
        </w:rPr>
      </w:pPr>
      <w:r>
        <w:rPr>
          <w:rFonts w:hint="eastAsia"/>
          <w:bCs w:val="0"/>
          <w:spacing w:val="0"/>
          <w:kern w:val="0"/>
        </w:rPr>
        <w:t>项目绩效目标包括项目绩效总目标和阶段性目标。</w:t>
      </w:r>
    </w:p>
    <w:p>
      <w:pPr>
        <w:pStyle w:val="52"/>
        <w:spacing w:line="560" w:lineRule="exact"/>
        <w:ind w:firstLine="562" w:firstLineChars="200"/>
        <w:jc w:val="both"/>
        <w:rPr>
          <w:rFonts w:cs="仿宋"/>
          <w:b/>
          <w:spacing w:val="0"/>
        </w:rPr>
      </w:pPr>
      <w:r>
        <w:rPr>
          <w:rFonts w:hint="eastAsia" w:cs="仿宋"/>
          <w:b/>
          <w:spacing w:val="0"/>
        </w:rPr>
        <w:t>1.项目绩效总目标</w:t>
      </w:r>
    </w:p>
    <w:p>
      <w:pPr>
        <w:spacing w:line="560" w:lineRule="exact"/>
        <w:ind w:firstLine="560" w:firstLineChars="200"/>
        <w:jc w:val="both"/>
        <w:rPr>
          <w:bCs w:val="0"/>
          <w:color w:val="000000"/>
          <w:spacing w:val="0"/>
          <w:szCs w:val="22"/>
        </w:rPr>
      </w:pPr>
      <w:r>
        <w:rPr>
          <w:rFonts w:hint="eastAsia"/>
          <w:bCs w:val="0"/>
          <w:color w:val="000000"/>
          <w:spacing w:val="0"/>
          <w:szCs w:val="22"/>
        </w:rPr>
        <w:t>①列支经营收入成本性支出263万元，其中工资福利支出17万元，商品和服务支出186万元，对个人和家庭的补助5万元，资本性支出55万元。</w:t>
      </w:r>
    </w:p>
    <w:p>
      <w:pPr>
        <w:spacing w:line="560" w:lineRule="exact"/>
        <w:ind w:firstLine="560" w:firstLineChars="200"/>
        <w:jc w:val="both"/>
        <w:rPr>
          <w:bCs w:val="0"/>
          <w:color w:val="000000"/>
          <w:spacing w:val="0"/>
          <w:szCs w:val="22"/>
        </w:rPr>
      </w:pPr>
      <w:r>
        <w:rPr>
          <w:rFonts w:hint="eastAsia"/>
          <w:bCs w:val="0"/>
          <w:color w:val="000000"/>
          <w:spacing w:val="0"/>
          <w:szCs w:val="22"/>
        </w:rPr>
        <w:t>②完成新疆采集更新的地质钻孔图表及结构化数据；区域地质钻孔结构化数据采集年度中期质量检查报告；区域地质钻孔结构化数据采集年度成果报告,完成数据更新采集的地质调查钻孔数1000个。以国土空间基础信息平台为基础，完成吐鲁番市、托克逊县、鄯善县国土空间规划“一张图”数据库建设、实施监督信息系统及实施监督系统对接并实现信息的共建共享共用等工作。按照实际项目的制图工作量，完成计算机制图工作。完成库尔勒市、伊宁市商业、居住及工业监测点动态监测数据采集与维护工作，完成数据采集的动态监测点120个。为自治区地质调查院自然资源业务网运行提供技术服务。矿山三维数据采集与建模技术服务，新增外业项目专用设备3个。为经营性项目顺利实施提供保障。</w:t>
      </w:r>
    </w:p>
    <w:p>
      <w:pPr>
        <w:pStyle w:val="52"/>
        <w:spacing w:line="560" w:lineRule="exact"/>
        <w:ind w:firstLine="562" w:firstLineChars="200"/>
        <w:jc w:val="both"/>
        <w:rPr>
          <w:rFonts w:cs="仿宋"/>
          <w:b/>
          <w:spacing w:val="0"/>
        </w:rPr>
      </w:pPr>
      <w:r>
        <w:rPr>
          <w:rFonts w:hint="eastAsia" w:cs="仿宋"/>
          <w:b/>
          <w:spacing w:val="0"/>
        </w:rPr>
        <w:t>2.阶段性目标</w:t>
      </w:r>
    </w:p>
    <w:p>
      <w:pPr>
        <w:pStyle w:val="52"/>
        <w:spacing w:line="560" w:lineRule="exact"/>
        <w:ind w:firstLine="560" w:firstLineChars="200"/>
        <w:jc w:val="both"/>
        <w:rPr>
          <w:rFonts w:cs="仿宋"/>
          <w:bCs w:val="0"/>
          <w:spacing w:val="0"/>
        </w:rPr>
      </w:pPr>
      <w:r>
        <w:rPr>
          <w:rFonts w:hint="eastAsia" w:cs="仿宋"/>
          <w:bCs w:val="0"/>
          <w:spacing w:val="0"/>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p>
    <w:p>
      <w:pPr>
        <w:pStyle w:val="52"/>
        <w:spacing w:line="560" w:lineRule="exact"/>
        <w:ind w:firstLine="560" w:firstLineChars="200"/>
        <w:jc w:val="both"/>
        <w:rPr>
          <w:rFonts w:cs="仿宋"/>
          <w:bCs w:val="0"/>
          <w:spacing w:val="0"/>
        </w:rPr>
      </w:pPr>
      <w:r>
        <w:rPr>
          <w:rFonts w:hint="eastAsia" w:cs="仿宋"/>
          <w:bCs w:val="0"/>
          <w:spacing w:val="0"/>
        </w:rPr>
        <w:t>（1）项目产出指标</w:t>
      </w:r>
    </w:p>
    <w:p>
      <w:pPr>
        <w:pStyle w:val="52"/>
        <w:spacing w:line="560" w:lineRule="exact"/>
        <w:ind w:firstLine="560" w:firstLineChars="200"/>
        <w:jc w:val="both"/>
        <w:rPr>
          <w:rFonts w:cs="仿宋"/>
          <w:bCs w:val="0"/>
          <w:spacing w:val="0"/>
        </w:rPr>
      </w:pPr>
      <w:r>
        <w:rPr>
          <w:rFonts w:hint="eastAsia" w:cs="仿宋"/>
          <w:bCs w:val="0"/>
          <w:spacing w:val="0"/>
        </w:rPr>
        <w:t>①数量指标</w:t>
      </w:r>
    </w:p>
    <w:p>
      <w:pPr>
        <w:pStyle w:val="52"/>
        <w:spacing w:line="560" w:lineRule="exact"/>
        <w:ind w:firstLine="560" w:firstLineChars="200"/>
        <w:jc w:val="both"/>
        <w:rPr>
          <w:rFonts w:cs="仿宋"/>
          <w:bCs w:val="0"/>
          <w:spacing w:val="0"/>
        </w:rPr>
      </w:pPr>
      <w:r>
        <w:rPr>
          <w:rFonts w:hint="eastAsia" w:cs="仿宋"/>
          <w:bCs w:val="0"/>
          <w:spacing w:val="0"/>
        </w:rPr>
        <w:t>“完成数据更新采集的地质调查钻孔数”指标，预期指标值为=1000个；</w:t>
      </w:r>
    </w:p>
    <w:p>
      <w:pPr>
        <w:pStyle w:val="52"/>
        <w:spacing w:line="560" w:lineRule="exact"/>
        <w:ind w:firstLine="560" w:firstLineChars="200"/>
        <w:jc w:val="both"/>
        <w:rPr>
          <w:rFonts w:cs="仿宋"/>
          <w:bCs w:val="0"/>
          <w:spacing w:val="0"/>
        </w:rPr>
      </w:pPr>
      <w:r>
        <w:rPr>
          <w:rFonts w:hint="eastAsia" w:cs="仿宋"/>
          <w:bCs w:val="0"/>
          <w:spacing w:val="0"/>
        </w:rPr>
        <w:t>“年度工作成果报告数量”指标，预期指标值为&gt;=4个；</w:t>
      </w:r>
    </w:p>
    <w:p>
      <w:pPr>
        <w:pStyle w:val="52"/>
        <w:spacing w:line="560" w:lineRule="exact"/>
        <w:ind w:firstLine="560" w:firstLineChars="200"/>
        <w:jc w:val="both"/>
        <w:rPr>
          <w:rFonts w:cs="仿宋"/>
          <w:bCs w:val="0"/>
          <w:spacing w:val="0"/>
        </w:rPr>
      </w:pPr>
      <w:r>
        <w:rPr>
          <w:rFonts w:hint="eastAsia" w:cs="仿宋"/>
          <w:bCs w:val="0"/>
          <w:spacing w:val="0"/>
        </w:rPr>
        <w:t>“建立数据集”指标，预期指标值为=1个；</w:t>
      </w:r>
    </w:p>
    <w:p>
      <w:pPr>
        <w:pStyle w:val="52"/>
        <w:spacing w:line="560" w:lineRule="exact"/>
        <w:ind w:firstLine="560" w:firstLineChars="200"/>
        <w:jc w:val="both"/>
        <w:rPr>
          <w:rFonts w:cs="仿宋"/>
          <w:bCs w:val="0"/>
          <w:spacing w:val="0"/>
        </w:rPr>
      </w:pPr>
      <w:r>
        <w:rPr>
          <w:rFonts w:hint="eastAsia" w:cs="仿宋"/>
          <w:bCs w:val="0"/>
          <w:spacing w:val="0"/>
        </w:rPr>
        <w:t>“完成数据采集的动态监测点个数”指标，预期指标值为&gt;=120个；</w:t>
      </w:r>
    </w:p>
    <w:p>
      <w:pPr>
        <w:pStyle w:val="52"/>
        <w:spacing w:line="560" w:lineRule="exact"/>
        <w:ind w:firstLine="560" w:firstLineChars="200"/>
        <w:jc w:val="both"/>
        <w:rPr>
          <w:rFonts w:cs="仿宋"/>
          <w:bCs w:val="0"/>
          <w:spacing w:val="0"/>
        </w:rPr>
      </w:pPr>
      <w:r>
        <w:rPr>
          <w:rFonts w:hint="eastAsia" w:cs="仿宋"/>
          <w:bCs w:val="0"/>
          <w:spacing w:val="0"/>
        </w:rPr>
        <w:t>“保障经营性项目工作人员数量”指标，预期指标值为&gt;=4人；</w:t>
      </w:r>
    </w:p>
    <w:p>
      <w:pPr>
        <w:pStyle w:val="52"/>
        <w:spacing w:line="560" w:lineRule="exact"/>
        <w:ind w:firstLine="560" w:firstLineChars="200"/>
        <w:jc w:val="both"/>
        <w:rPr>
          <w:rFonts w:cs="仿宋"/>
          <w:bCs w:val="0"/>
          <w:spacing w:val="0"/>
        </w:rPr>
      </w:pPr>
      <w:r>
        <w:rPr>
          <w:rFonts w:hint="eastAsia" w:cs="仿宋"/>
          <w:bCs w:val="0"/>
          <w:spacing w:val="0"/>
        </w:rPr>
        <w:t>“新增外业项目专用设备”指标，预期指标值为&gt;=3个。</w:t>
      </w:r>
    </w:p>
    <w:p>
      <w:pPr>
        <w:pStyle w:val="52"/>
        <w:spacing w:line="560" w:lineRule="exact"/>
        <w:ind w:firstLine="484" w:firstLineChars="173"/>
        <w:jc w:val="both"/>
        <w:rPr>
          <w:rFonts w:cs="仿宋"/>
          <w:bCs w:val="0"/>
          <w:spacing w:val="0"/>
        </w:rPr>
      </w:pPr>
      <w:r>
        <w:rPr>
          <w:rFonts w:hint="eastAsia" w:cs="仿宋"/>
          <w:bCs w:val="0"/>
          <w:spacing w:val="0"/>
        </w:rPr>
        <w:t>②质量指标</w:t>
      </w:r>
    </w:p>
    <w:p>
      <w:pPr>
        <w:pStyle w:val="52"/>
        <w:spacing w:line="560" w:lineRule="exact"/>
        <w:ind w:firstLine="560" w:firstLineChars="200"/>
        <w:jc w:val="both"/>
        <w:rPr>
          <w:rFonts w:cs="仿宋"/>
          <w:bCs w:val="0"/>
          <w:spacing w:val="0"/>
        </w:rPr>
      </w:pPr>
      <w:r>
        <w:rPr>
          <w:rFonts w:hint="eastAsia" w:cs="仿宋"/>
          <w:bCs w:val="0"/>
          <w:spacing w:val="0"/>
        </w:rPr>
        <w:t>“外业项目专用设备采购合格率”指标，预期指标值为=100%。</w:t>
      </w:r>
    </w:p>
    <w:p>
      <w:pPr>
        <w:pStyle w:val="52"/>
        <w:spacing w:line="560" w:lineRule="exact"/>
        <w:ind w:firstLine="484" w:firstLineChars="173"/>
        <w:jc w:val="both"/>
        <w:rPr>
          <w:rFonts w:cs="仿宋"/>
          <w:bCs w:val="0"/>
          <w:spacing w:val="0"/>
        </w:rPr>
      </w:pPr>
      <w:r>
        <w:rPr>
          <w:rFonts w:hint="eastAsia" w:cs="仿宋"/>
          <w:bCs w:val="0"/>
          <w:spacing w:val="0"/>
        </w:rPr>
        <w:t>③时效指标</w:t>
      </w:r>
    </w:p>
    <w:p>
      <w:pPr>
        <w:pStyle w:val="52"/>
        <w:spacing w:line="560" w:lineRule="exact"/>
        <w:ind w:firstLine="560" w:firstLineChars="200"/>
        <w:jc w:val="both"/>
        <w:rPr>
          <w:rFonts w:ascii="Times New Roman" w:hAnsi="Times New Roman"/>
          <w:color w:val="000000" w:themeColor="text1"/>
          <w:sz w:val="32"/>
          <w:szCs w:val="32"/>
        </w:rPr>
      </w:pPr>
      <w:r>
        <w:rPr>
          <w:rFonts w:hint="eastAsia" w:cs="仿宋"/>
          <w:bCs w:val="0"/>
          <w:spacing w:val="0"/>
        </w:rPr>
        <w:t>“年度工作成果报告按时完成率”指标，预期指标值为&gt;=90%。</w:t>
      </w:r>
    </w:p>
    <w:p>
      <w:pPr>
        <w:pStyle w:val="52"/>
        <w:spacing w:line="560" w:lineRule="exact"/>
        <w:ind w:firstLine="484" w:firstLineChars="173"/>
        <w:jc w:val="both"/>
        <w:rPr>
          <w:rFonts w:cs="仿宋"/>
          <w:bCs w:val="0"/>
          <w:spacing w:val="0"/>
        </w:rPr>
      </w:pPr>
      <w:r>
        <w:rPr>
          <w:rFonts w:hint="eastAsia" w:cs="仿宋"/>
          <w:bCs w:val="0"/>
          <w:spacing w:val="0"/>
        </w:rPr>
        <w:t>④成本指标</w:t>
      </w:r>
    </w:p>
    <w:p>
      <w:pPr>
        <w:pStyle w:val="52"/>
        <w:spacing w:line="560" w:lineRule="exact"/>
        <w:ind w:firstLine="560" w:firstLineChars="200"/>
        <w:jc w:val="both"/>
        <w:rPr>
          <w:rFonts w:cs="仿宋"/>
          <w:bCs w:val="0"/>
          <w:spacing w:val="0"/>
        </w:rPr>
      </w:pPr>
      <w:r>
        <w:rPr>
          <w:rFonts w:hint="eastAsia" w:cs="仿宋"/>
          <w:bCs w:val="0"/>
          <w:spacing w:val="0"/>
        </w:rPr>
        <w:t>“专用设备采购费用”指标，预期指标值为&lt;=53万元；</w:t>
      </w:r>
    </w:p>
    <w:p>
      <w:pPr>
        <w:pStyle w:val="52"/>
        <w:spacing w:line="560" w:lineRule="exact"/>
        <w:ind w:firstLine="560" w:firstLineChars="200"/>
        <w:jc w:val="both"/>
        <w:rPr>
          <w:rFonts w:cs="仿宋"/>
          <w:bCs w:val="0"/>
          <w:spacing w:val="0"/>
        </w:rPr>
      </w:pPr>
      <w:r>
        <w:rPr>
          <w:rFonts w:hint="eastAsia" w:cs="仿宋"/>
          <w:bCs w:val="0"/>
          <w:spacing w:val="0"/>
        </w:rPr>
        <w:t>“规划一张图项目委托业务费”指标，预期指标值为&lt;=93万元；</w:t>
      </w:r>
    </w:p>
    <w:p>
      <w:pPr>
        <w:pStyle w:val="52"/>
        <w:spacing w:line="560" w:lineRule="exact"/>
        <w:ind w:firstLine="560" w:firstLineChars="200"/>
        <w:jc w:val="both"/>
        <w:rPr>
          <w:rFonts w:ascii="Times New Roman" w:hAnsi="Times New Roman"/>
          <w:color w:val="000000" w:themeColor="text1"/>
          <w:sz w:val="32"/>
          <w:szCs w:val="32"/>
        </w:rPr>
      </w:pPr>
      <w:r>
        <w:rPr>
          <w:rFonts w:hint="eastAsia" w:cs="仿宋"/>
          <w:bCs w:val="0"/>
          <w:spacing w:val="0"/>
        </w:rPr>
        <w:t>“专家及项目工作人员劳务费”指标，预期指标值为&lt;=8万元。</w:t>
      </w:r>
    </w:p>
    <w:p>
      <w:pPr>
        <w:pStyle w:val="52"/>
        <w:spacing w:line="560" w:lineRule="exact"/>
        <w:ind w:firstLine="560" w:firstLineChars="200"/>
        <w:jc w:val="both"/>
        <w:rPr>
          <w:rFonts w:cs="仿宋"/>
          <w:bCs w:val="0"/>
          <w:spacing w:val="0"/>
        </w:rPr>
      </w:pPr>
      <w:r>
        <w:rPr>
          <w:rFonts w:hint="eastAsia" w:cs="仿宋"/>
          <w:bCs w:val="0"/>
          <w:spacing w:val="0"/>
        </w:rPr>
        <w:t>（2）项目效益指标</w:t>
      </w:r>
    </w:p>
    <w:p>
      <w:pPr>
        <w:pStyle w:val="52"/>
        <w:spacing w:line="560" w:lineRule="exact"/>
        <w:ind w:firstLine="560" w:firstLineChars="200"/>
        <w:jc w:val="both"/>
        <w:rPr>
          <w:rFonts w:cs="仿宋"/>
          <w:bCs w:val="0"/>
          <w:spacing w:val="0"/>
        </w:rPr>
      </w:pPr>
      <w:r>
        <w:rPr>
          <w:rFonts w:hint="eastAsia" w:cs="仿宋"/>
          <w:bCs w:val="0"/>
          <w:spacing w:val="0"/>
        </w:rPr>
        <w:t>①经济效益指标</w:t>
      </w:r>
    </w:p>
    <w:p>
      <w:pPr>
        <w:pStyle w:val="52"/>
        <w:spacing w:line="560" w:lineRule="exact"/>
        <w:ind w:firstLine="560" w:firstLineChars="200"/>
        <w:jc w:val="both"/>
        <w:rPr>
          <w:rFonts w:cs="仿宋"/>
          <w:bCs w:val="0"/>
          <w:spacing w:val="0"/>
        </w:rPr>
      </w:pPr>
      <w:r>
        <w:rPr>
          <w:rFonts w:hint="eastAsia" w:cs="仿宋"/>
          <w:bCs w:val="0"/>
          <w:spacing w:val="0"/>
        </w:rPr>
        <w:t>无</w:t>
      </w:r>
    </w:p>
    <w:p>
      <w:pPr>
        <w:pStyle w:val="52"/>
        <w:spacing w:line="560" w:lineRule="exact"/>
        <w:ind w:firstLine="560" w:firstLineChars="200"/>
        <w:jc w:val="both"/>
        <w:rPr>
          <w:rFonts w:cs="仿宋"/>
          <w:bCs w:val="0"/>
          <w:spacing w:val="0"/>
        </w:rPr>
      </w:pPr>
      <w:r>
        <w:rPr>
          <w:rFonts w:hint="eastAsia" w:cs="仿宋"/>
          <w:bCs w:val="0"/>
          <w:spacing w:val="0"/>
        </w:rPr>
        <w:t>②社会效益指标</w:t>
      </w:r>
    </w:p>
    <w:p>
      <w:pPr>
        <w:pStyle w:val="52"/>
        <w:spacing w:line="560" w:lineRule="exact"/>
        <w:ind w:firstLine="560" w:firstLineChars="200"/>
        <w:jc w:val="both"/>
        <w:rPr>
          <w:rFonts w:cs="仿宋"/>
          <w:bCs w:val="0"/>
          <w:spacing w:val="0"/>
        </w:rPr>
      </w:pPr>
      <w:r>
        <w:rPr>
          <w:rFonts w:hint="eastAsia" w:cs="仿宋"/>
          <w:bCs w:val="0"/>
          <w:spacing w:val="0"/>
        </w:rPr>
        <w:t>“保障经营性项目顺利实施”指标，预期指标值为有效保障。</w:t>
      </w:r>
    </w:p>
    <w:p>
      <w:pPr>
        <w:pStyle w:val="52"/>
        <w:spacing w:line="560" w:lineRule="exact"/>
        <w:ind w:firstLine="560" w:firstLineChars="200"/>
        <w:jc w:val="both"/>
        <w:rPr>
          <w:rFonts w:cs="仿宋"/>
          <w:bCs w:val="0"/>
          <w:spacing w:val="0"/>
        </w:rPr>
      </w:pPr>
      <w:r>
        <w:rPr>
          <w:rFonts w:hint="eastAsia" w:cs="仿宋"/>
          <w:bCs w:val="0"/>
          <w:spacing w:val="0"/>
        </w:rPr>
        <w:t>③生态效益指标</w:t>
      </w:r>
    </w:p>
    <w:p>
      <w:pPr>
        <w:pStyle w:val="52"/>
        <w:spacing w:line="560" w:lineRule="exact"/>
        <w:ind w:firstLine="560" w:firstLineChars="200"/>
        <w:jc w:val="both"/>
        <w:rPr>
          <w:rFonts w:cs="仿宋"/>
          <w:bCs w:val="0"/>
          <w:spacing w:val="0"/>
        </w:rPr>
      </w:pPr>
      <w:r>
        <w:rPr>
          <w:rFonts w:hint="eastAsia" w:cs="仿宋"/>
          <w:bCs w:val="0"/>
          <w:spacing w:val="0"/>
        </w:rPr>
        <w:t>无</w:t>
      </w:r>
    </w:p>
    <w:p>
      <w:pPr>
        <w:pStyle w:val="52"/>
        <w:spacing w:line="560" w:lineRule="exact"/>
        <w:ind w:firstLine="560" w:firstLineChars="200"/>
        <w:jc w:val="both"/>
        <w:rPr>
          <w:rFonts w:cs="仿宋"/>
          <w:bCs w:val="0"/>
          <w:spacing w:val="0"/>
        </w:rPr>
      </w:pPr>
      <w:r>
        <w:rPr>
          <w:rFonts w:hint="eastAsia" w:cs="仿宋"/>
          <w:bCs w:val="0"/>
          <w:spacing w:val="0"/>
        </w:rPr>
        <w:t>④可持续影响</w:t>
      </w:r>
    </w:p>
    <w:p>
      <w:pPr>
        <w:pStyle w:val="52"/>
        <w:spacing w:line="560" w:lineRule="exact"/>
        <w:ind w:firstLine="560" w:firstLineChars="200"/>
        <w:jc w:val="both"/>
        <w:rPr>
          <w:rFonts w:cs="仿宋"/>
          <w:bCs w:val="0"/>
          <w:spacing w:val="0"/>
        </w:rPr>
      </w:pPr>
      <w:r>
        <w:rPr>
          <w:rFonts w:hint="eastAsia" w:cs="仿宋"/>
          <w:bCs w:val="0"/>
          <w:spacing w:val="0"/>
        </w:rPr>
        <w:t>无</w:t>
      </w:r>
    </w:p>
    <w:p>
      <w:pPr>
        <w:pStyle w:val="52"/>
        <w:spacing w:line="560" w:lineRule="exact"/>
        <w:ind w:firstLine="560" w:firstLineChars="200"/>
        <w:jc w:val="both"/>
        <w:rPr>
          <w:rFonts w:cs="仿宋"/>
          <w:bCs w:val="0"/>
          <w:spacing w:val="0"/>
        </w:rPr>
      </w:pPr>
      <w:r>
        <w:rPr>
          <w:rFonts w:hint="eastAsia" w:cs="仿宋"/>
          <w:bCs w:val="0"/>
          <w:spacing w:val="0"/>
        </w:rPr>
        <w:t>⑤满意度指标</w:t>
      </w:r>
    </w:p>
    <w:p>
      <w:pPr>
        <w:pStyle w:val="52"/>
        <w:spacing w:line="560" w:lineRule="exact"/>
        <w:ind w:firstLine="560" w:firstLineChars="200"/>
        <w:jc w:val="both"/>
        <w:rPr>
          <w:rFonts w:cs="仿宋"/>
          <w:bCs w:val="0"/>
          <w:spacing w:val="0"/>
        </w:rPr>
      </w:pPr>
      <w:r>
        <w:rPr>
          <w:rFonts w:hint="eastAsia" w:cs="仿宋"/>
          <w:bCs w:val="0"/>
          <w:spacing w:val="0"/>
        </w:rPr>
        <w:t>“使用人员满意度”指标，预期指标值为&gt;=95%。</w:t>
      </w:r>
    </w:p>
    <w:p>
      <w:pPr>
        <w:pStyle w:val="2"/>
        <w:spacing w:before="62"/>
        <w:ind w:firstLine="640" w:firstLineChars="200"/>
        <w:rPr>
          <w:rFonts w:ascii="方正黑体_GBK" w:hAnsi="方正黑体_GBK" w:eastAsia="方正黑体_GBK" w:cs="方正黑体_GBK"/>
          <w:b/>
          <w:spacing w:val="0"/>
          <w:kern w:val="2"/>
        </w:rPr>
      </w:pPr>
      <w:bookmarkStart w:id="3" w:name="_Toc163410620"/>
      <w:r>
        <w:rPr>
          <w:rFonts w:hint="eastAsia" w:ascii="方正黑体_GBK" w:hAnsi="方正黑体_GBK" w:eastAsia="方正黑体_GBK" w:cs="方正黑体_GBK"/>
          <w:b/>
          <w:spacing w:val="0"/>
          <w:kern w:val="2"/>
        </w:rPr>
        <w:t>二、绩效评价工作开展情况</w:t>
      </w:r>
      <w:bookmarkEnd w:id="3"/>
    </w:p>
    <w:p>
      <w:pPr>
        <w:pStyle w:val="3"/>
        <w:ind w:firstLine="624" w:firstLineChars="200"/>
        <w:rPr>
          <w:rFonts w:ascii="仿宋" w:hAnsi="仿宋" w:eastAsia="仿宋"/>
          <w:b/>
          <w:iCs w:val="0"/>
          <w:spacing w:val="0"/>
          <w:sz w:val="28"/>
          <w:szCs w:val="28"/>
        </w:rPr>
      </w:pPr>
      <w:bookmarkStart w:id="4" w:name="_Toc163410621"/>
      <w:r>
        <w:t>（</w:t>
      </w:r>
      <w:r>
        <w:rPr>
          <w:rFonts w:hint="eastAsia" w:ascii="仿宋" w:hAnsi="仿宋" w:eastAsia="仿宋"/>
          <w:b/>
          <w:iCs w:val="0"/>
          <w:spacing w:val="0"/>
          <w:sz w:val="28"/>
          <w:szCs w:val="28"/>
        </w:rPr>
        <w:t>一）绩效评价目的、对象和范围</w:t>
      </w:r>
      <w:bookmarkEnd w:id="4"/>
    </w:p>
    <w:p>
      <w:pPr>
        <w:pStyle w:val="55"/>
        <w:spacing w:line="560" w:lineRule="exact"/>
        <w:ind w:firstLine="562" w:firstLineChars="200"/>
        <w:jc w:val="both"/>
        <w:rPr>
          <w:rFonts w:ascii="仿宋" w:hAnsi="仿宋" w:cs="仿宋"/>
          <w:b/>
          <w:bCs w:val="0"/>
          <w:snapToGrid w:val="0"/>
          <w:spacing w:val="0"/>
        </w:rPr>
      </w:pPr>
      <w:r>
        <w:rPr>
          <w:rFonts w:hint="eastAsia" w:ascii="仿宋" w:hAnsi="仿宋" w:cs="仿宋"/>
          <w:b/>
          <w:bCs w:val="0"/>
          <w:snapToGrid w:val="0"/>
          <w:spacing w:val="0"/>
        </w:rPr>
        <w:t>1.绩效评价目的</w:t>
      </w:r>
    </w:p>
    <w:p>
      <w:pPr>
        <w:spacing w:line="560" w:lineRule="exact"/>
        <w:ind w:firstLine="560" w:firstLineChars="200"/>
        <w:jc w:val="both"/>
        <w:rPr>
          <w:bCs w:val="0"/>
          <w:spacing w:val="0"/>
          <w:kern w:val="0"/>
        </w:rPr>
      </w:pPr>
      <w:r>
        <w:rPr>
          <w:rFonts w:hint="eastAsia"/>
          <w:bCs w:val="0"/>
          <w:spacing w:val="0"/>
          <w:kern w:val="0"/>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spacing w:line="560" w:lineRule="exact"/>
        <w:ind w:firstLine="560" w:firstLineChars="200"/>
        <w:jc w:val="both"/>
        <w:rPr>
          <w:bCs w:val="0"/>
          <w:spacing w:val="0"/>
          <w:kern w:val="0"/>
        </w:rPr>
      </w:pPr>
      <w:r>
        <w:rPr>
          <w:rFonts w:hint="eastAsia"/>
          <w:bCs w:val="0"/>
          <w:spacing w:val="0"/>
          <w:kern w:val="0"/>
        </w:rPr>
        <w:t>项目在实施前向项目负责人提供财政支出绩效方面的资金管理信息，促进项目支出严格按照资金管理规定进行。项目绩效管理财政支出运行提供及时、有效的信息。</w:t>
      </w:r>
    </w:p>
    <w:p>
      <w:pPr>
        <w:spacing w:line="560" w:lineRule="exact"/>
        <w:ind w:firstLine="560" w:firstLineChars="200"/>
        <w:jc w:val="both"/>
        <w:rPr>
          <w:bCs w:val="0"/>
          <w:spacing w:val="0"/>
          <w:kern w:val="0"/>
        </w:rPr>
      </w:pPr>
      <w:r>
        <w:rPr>
          <w:rFonts w:hint="eastAsia"/>
          <w:bCs w:val="0"/>
          <w:spacing w:val="0"/>
          <w:kern w:val="0"/>
        </w:rPr>
        <w:t>综合来看，通过开展有效的财政支出绩效评价管理，达到改进预算管理、控制节约成本，提高预算资金使用效益的目的。</w:t>
      </w:r>
    </w:p>
    <w:p>
      <w:pPr>
        <w:pStyle w:val="55"/>
        <w:spacing w:line="560" w:lineRule="exact"/>
        <w:ind w:firstLine="562" w:firstLineChars="200"/>
        <w:jc w:val="both"/>
        <w:rPr>
          <w:rFonts w:ascii="仿宋" w:hAnsi="仿宋" w:cs="仿宋"/>
          <w:b/>
          <w:bCs w:val="0"/>
          <w:snapToGrid w:val="0"/>
          <w:spacing w:val="0"/>
        </w:rPr>
      </w:pPr>
      <w:r>
        <w:rPr>
          <w:rFonts w:hint="eastAsia" w:ascii="仿宋" w:hAnsi="仿宋" w:cs="仿宋"/>
          <w:b/>
          <w:bCs w:val="0"/>
          <w:snapToGrid w:val="0"/>
          <w:spacing w:val="0"/>
        </w:rPr>
        <w:t>2.绩效评价对象</w:t>
      </w:r>
    </w:p>
    <w:p>
      <w:pPr>
        <w:spacing w:line="560" w:lineRule="exact"/>
        <w:ind w:firstLine="560" w:firstLineChars="200"/>
        <w:jc w:val="both"/>
        <w:rPr>
          <w:bCs w:val="0"/>
          <w:spacing w:val="0"/>
          <w:kern w:val="0"/>
        </w:rPr>
      </w:pPr>
      <w:r>
        <w:rPr>
          <w:rFonts w:hint="eastAsia"/>
          <w:bCs w:val="0"/>
          <w:spacing w:val="0"/>
          <w:kern w:val="0"/>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p>
    <w:p>
      <w:pPr>
        <w:pStyle w:val="55"/>
        <w:spacing w:line="560" w:lineRule="exact"/>
        <w:ind w:left="544" w:leftChars="200" w:firstLine="0" w:firstLineChars="0"/>
        <w:jc w:val="both"/>
        <w:rPr>
          <w:rFonts w:ascii="仿宋" w:hAnsi="仿宋" w:cs="仿宋"/>
          <w:b/>
          <w:bCs w:val="0"/>
          <w:snapToGrid w:val="0"/>
          <w:spacing w:val="0"/>
        </w:rPr>
      </w:pPr>
      <w:r>
        <w:rPr>
          <w:rFonts w:hint="eastAsia" w:ascii="仿宋" w:hAnsi="仿宋" w:cs="仿宋"/>
          <w:b/>
          <w:bCs w:val="0"/>
          <w:snapToGrid w:val="0"/>
          <w:spacing w:val="0"/>
        </w:rPr>
        <w:t>3.绩效评价范围</w:t>
      </w:r>
    </w:p>
    <w:p>
      <w:pPr>
        <w:pStyle w:val="55"/>
        <w:spacing w:before="0" w:after="0" w:line="560" w:lineRule="exact"/>
        <w:ind w:firstLine="560" w:firstLineChars="200"/>
        <w:jc w:val="both"/>
        <w:rPr>
          <w:color w:val="000000" w:themeColor="text1"/>
          <w:sz w:val="32"/>
          <w:szCs w:val="32"/>
        </w:rPr>
      </w:pPr>
      <w:r>
        <w:rPr>
          <w:rFonts w:hint="eastAsia" w:ascii="仿宋" w:hAnsi="仿宋" w:cs="仿宋"/>
          <w:bCs w:val="0"/>
          <w:spacing w:val="0"/>
        </w:rPr>
        <w:t>本次评价范围涵盖项目总体绩效目标、各项绩效指标完成情况以及预算执行情况。覆盖项目预算资金支出的所有内容进行评价。包括项目决策、项目实施和项目成果验收流程等。</w:t>
      </w:r>
    </w:p>
    <w:p>
      <w:pPr>
        <w:pStyle w:val="3"/>
        <w:ind w:firstLine="562" w:firstLineChars="200"/>
        <w:rPr>
          <w:rFonts w:ascii="仿宋" w:hAnsi="仿宋" w:eastAsia="仿宋"/>
          <w:b/>
          <w:iCs w:val="0"/>
          <w:spacing w:val="0"/>
          <w:sz w:val="28"/>
          <w:szCs w:val="28"/>
        </w:rPr>
      </w:pPr>
      <w:bookmarkStart w:id="5" w:name="_Toc163410622"/>
      <w:r>
        <w:rPr>
          <w:rFonts w:hint="eastAsia" w:ascii="仿宋" w:hAnsi="仿宋" w:eastAsia="仿宋"/>
          <w:b/>
          <w:iCs w:val="0"/>
          <w:spacing w:val="0"/>
          <w:sz w:val="28"/>
          <w:szCs w:val="28"/>
        </w:rPr>
        <w:t>（二）绩效评价原则、评价指标体系、评价方法、评价标准。</w:t>
      </w:r>
      <w:bookmarkEnd w:id="5"/>
    </w:p>
    <w:p>
      <w:pPr>
        <w:pStyle w:val="55"/>
        <w:spacing w:line="560" w:lineRule="exact"/>
        <w:ind w:firstLine="562" w:firstLineChars="200"/>
        <w:jc w:val="both"/>
        <w:rPr>
          <w:rFonts w:ascii="仿宋" w:hAnsi="仿宋" w:cs="仿宋"/>
          <w:b/>
          <w:bCs w:val="0"/>
          <w:snapToGrid w:val="0"/>
          <w:spacing w:val="0"/>
        </w:rPr>
      </w:pPr>
      <w:r>
        <w:rPr>
          <w:rFonts w:hint="eastAsia" w:ascii="仿宋" w:hAnsi="仿宋" w:cs="仿宋"/>
          <w:b/>
          <w:bCs w:val="0"/>
          <w:snapToGrid w:val="0"/>
          <w:spacing w:val="0"/>
        </w:rPr>
        <w:t>1.绩效评价原则</w:t>
      </w:r>
    </w:p>
    <w:p>
      <w:pPr>
        <w:pStyle w:val="55"/>
        <w:spacing w:before="0" w:after="0" w:line="560" w:lineRule="exact"/>
        <w:ind w:firstLine="560" w:firstLineChars="200"/>
        <w:jc w:val="both"/>
        <w:rPr>
          <w:rFonts w:ascii="仿宋" w:hAnsi="仿宋" w:cs="仿宋"/>
          <w:bCs w:val="0"/>
          <w:spacing w:val="0"/>
        </w:rPr>
      </w:pPr>
      <w:r>
        <w:rPr>
          <w:rFonts w:hint="eastAsia" w:ascii="仿宋" w:hAnsi="仿宋" w:cs="仿宋"/>
          <w:bCs w:val="0"/>
          <w:spacing w:val="0"/>
        </w:rPr>
        <w:t>本次评价坚持定量优先、定量与定性相结合的方式，始终遵循科学规范、公正公开、分级分类、绩效相关的基本原则。通过对2023年经营收入成本性支出项目资金进行绩效评价，旨在了解项目资金使用和项目管理情况、取得的成绩及效益，进而分析在政策执行、预算资金安排、项目实施等方面存在的问题并提出针对性建议。本次绩效评价遵循的原则包括：</w:t>
      </w:r>
    </w:p>
    <w:p>
      <w:pPr>
        <w:pStyle w:val="55"/>
        <w:spacing w:before="0" w:after="0" w:line="560" w:lineRule="exact"/>
        <w:ind w:firstLine="560" w:firstLineChars="200"/>
        <w:jc w:val="both"/>
        <w:rPr>
          <w:rFonts w:ascii="仿宋" w:hAnsi="仿宋" w:cs="仿宋"/>
          <w:bCs w:val="0"/>
          <w:spacing w:val="0"/>
        </w:rPr>
      </w:pPr>
      <w:r>
        <w:rPr>
          <w:rFonts w:hint="eastAsia" w:ascii="仿宋" w:hAnsi="仿宋" w:cs="仿宋"/>
          <w:bCs w:val="0"/>
          <w:spacing w:val="0"/>
        </w:rPr>
        <w:t>（1）科学公正。绩效评价应当运用科学合理的方法，按照规范的程序，对项目绩效进行客观、公正的反映。</w:t>
      </w:r>
    </w:p>
    <w:p>
      <w:pPr>
        <w:pStyle w:val="55"/>
        <w:spacing w:before="0" w:after="0" w:line="560" w:lineRule="exact"/>
        <w:ind w:firstLine="560" w:firstLineChars="200"/>
        <w:jc w:val="both"/>
        <w:rPr>
          <w:rFonts w:ascii="仿宋" w:hAnsi="仿宋" w:cs="仿宋"/>
          <w:bCs w:val="0"/>
          <w:spacing w:val="0"/>
        </w:rPr>
      </w:pPr>
      <w:r>
        <w:rPr>
          <w:rFonts w:hint="eastAsia" w:ascii="仿宋" w:hAnsi="仿宋" w:cs="仿宋"/>
          <w:bCs w:val="0"/>
          <w:spacing w:val="0"/>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Style w:val="55"/>
        <w:spacing w:before="0" w:after="0" w:line="560" w:lineRule="exact"/>
        <w:ind w:firstLine="560" w:firstLineChars="200"/>
        <w:jc w:val="both"/>
        <w:rPr>
          <w:rFonts w:ascii="仿宋" w:hAnsi="仿宋" w:cs="仿宋"/>
          <w:bCs w:val="0"/>
          <w:spacing w:val="0"/>
        </w:rPr>
      </w:pPr>
      <w:r>
        <w:rPr>
          <w:rFonts w:hint="eastAsia" w:ascii="仿宋" w:hAnsi="仿宋" w:cs="仿宋"/>
          <w:bCs w:val="0"/>
          <w:spacing w:val="0"/>
        </w:rPr>
        <w:t>（3）激励约束。绩效评价结果应与预算安排、政策调整、改进管理实质性挂钩，体现奖优罚劣和激励相容导向，有效要安排、低效要压减、无效要问责。</w:t>
      </w:r>
    </w:p>
    <w:p>
      <w:pPr>
        <w:pStyle w:val="55"/>
        <w:spacing w:before="0" w:after="0" w:line="560" w:lineRule="exact"/>
        <w:ind w:firstLine="560" w:firstLineChars="200"/>
        <w:jc w:val="both"/>
        <w:rPr>
          <w:rFonts w:ascii="仿宋" w:hAnsi="仿宋" w:cs="仿宋"/>
          <w:bCs w:val="0"/>
          <w:spacing w:val="0"/>
        </w:rPr>
      </w:pPr>
      <w:r>
        <w:rPr>
          <w:rFonts w:hint="eastAsia" w:ascii="仿宋" w:hAnsi="仿宋" w:cs="仿宋"/>
          <w:bCs w:val="0"/>
          <w:spacing w:val="0"/>
        </w:rPr>
        <w:t>（4）公开透明。绩效评价结果应依法依规公开，并自觉接受社会监督。</w:t>
      </w:r>
    </w:p>
    <w:p>
      <w:pPr>
        <w:pStyle w:val="55"/>
        <w:spacing w:line="560" w:lineRule="exact"/>
        <w:ind w:firstLine="562" w:firstLineChars="200"/>
        <w:jc w:val="both"/>
        <w:rPr>
          <w:rFonts w:ascii="仿宋" w:hAnsi="仿宋" w:cs="仿宋"/>
          <w:b/>
          <w:bCs w:val="0"/>
          <w:snapToGrid w:val="0"/>
          <w:spacing w:val="0"/>
        </w:rPr>
      </w:pPr>
      <w:r>
        <w:rPr>
          <w:rFonts w:hint="eastAsia" w:ascii="仿宋" w:hAnsi="仿宋" w:cs="仿宋"/>
          <w:b/>
          <w:bCs w:val="0"/>
          <w:snapToGrid w:val="0"/>
          <w:spacing w:val="0"/>
        </w:rPr>
        <w:t>2.绩效评价指标体系</w:t>
      </w:r>
    </w:p>
    <w:p>
      <w:pPr>
        <w:pStyle w:val="52"/>
        <w:spacing w:line="560" w:lineRule="exact"/>
        <w:ind w:firstLine="560" w:firstLineChars="200"/>
        <w:jc w:val="both"/>
        <w:rPr>
          <w:rFonts w:cs="仿宋"/>
          <w:bCs w:val="0"/>
          <w:spacing w:val="0"/>
        </w:rPr>
      </w:pPr>
      <w:r>
        <w:rPr>
          <w:rFonts w:hint="eastAsia" w:cs="仿宋"/>
          <w:bCs w:val="0"/>
          <w:spacing w:val="0"/>
        </w:rP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p>
    <w:p>
      <w:pPr>
        <w:pStyle w:val="52"/>
        <w:spacing w:line="560" w:lineRule="exact"/>
        <w:ind w:firstLine="560" w:firstLineChars="200"/>
        <w:jc w:val="both"/>
        <w:rPr>
          <w:rFonts w:cs="仿宋"/>
          <w:bCs w:val="0"/>
          <w:spacing w:val="0"/>
        </w:rPr>
      </w:pPr>
      <w:r>
        <w:rPr>
          <w:rFonts w:hint="eastAsia" w:cs="仿宋"/>
          <w:bCs w:val="0"/>
          <w:spacing w:val="0"/>
        </w:rPr>
        <w:t>一级指标为：决策、过程、产出、效益。</w:t>
      </w:r>
    </w:p>
    <w:p>
      <w:pPr>
        <w:pStyle w:val="52"/>
        <w:spacing w:line="560" w:lineRule="exact"/>
        <w:ind w:firstLine="560" w:firstLineChars="200"/>
        <w:jc w:val="both"/>
        <w:rPr>
          <w:rFonts w:cs="仿宋"/>
          <w:bCs w:val="0"/>
          <w:spacing w:val="0"/>
        </w:rPr>
      </w:pPr>
      <w:r>
        <w:rPr>
          <w:rFonts w:hint="eastAsia" w:cs="仿宋"/>
          <w:bCs w:val="0"/>
          <w:spacing w:val="0"/>
        </w:rPr>
        <w:t>二级指标为：项目立项、绩效目标、资金投入、资金管理、组织实施、产出数量、产出质量、产出时效、产出成本、项目效益。</w:t>
      </w:r>
    </w:p>
    <w:p>
      <w:pPr>
        <w:pStyle w:val="52"/>
        <w:spacing w:line="560" w:lineRule="exact"/>
        <w:ind w:firstLine="560" w:firstLineChars="200"/>
        <w:jc w:val="both"/>
        <w:rPr>
          <w:rFonts w:cs="仿宋"/>
          <w:bCs w:val="0"/>
          <w:spacing w:val="0"/>
        </w:rPr>
      </w:pPr>
      <w:r>
        <w:rPr>
          <w:rFonts w:hint="eastAsia" w:cs="仿宋"/>
          <w:bCs w:val="0"/>
          <w:spacing w:val="0"/>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pPr>
        <w:spacing w:line="560" w:lineRule="exact"/>
        <w:ind w:firstLine="562" w:firstLineChars="200"/>
        <w:jc w:val="both"/>
        <w:rPr>
          <w:b/>
          <w:bCs w:val="0"/>
          <w:snapToGrid w:val="0"/>
          <w:spacing w:val="0"/>
          <w:kern w:val="0"/>
        </w:rPr>
      </w:pPr>
      <w:r>
        <w:rPr>
          <w:rFonts w:hint="eastAsia"/>
          <w:b/>
          <w:bCs w:val="0"/>
          <w:snapToGrid w:val="0"/>
          <w:spacing w:val="0"/>
          <w:kern w:val="0"/>
        </w:rPr>
        <w:t>3.绩效评价方法</w:t>
      </w:r>
    </w:p>
    <w:p>
      <w:pPr>
        <w:spacing w:line="560" w:lineRule="exact"/>
        <w:ind w:firstLine="560" w:firstLineChars="200"/>
        <w:jc w:val="both"/>
        <w:rPr>
          <w:bCs w:val="0"/>
          <w:spacing w:val="0"/>
          <w:kern w:val="0"/>
        </w:rPr>
      </w:pPr>
      <w:r>
        <w:rPr>
          <w:rFonts w:hint="eastAsia"/>
          <w:bCs w:val="0"/>
          <w:spacing w:val="0"/>
          <w:kern w:val="0"/>
        </w:rPr>
        <w:t>本次绩效评价方法的选用坚持简便有效的原则采用成本效益分析法、比较法、综合指数评价法、公众评判法等多种方法，具体评价方法如下：</w:t>
      </w:r>
    </w:p>
    <w:p>
      <w:pPr>
        <w:spacing w:line="560" w:lineRule="exact"/>
        <w:ind w:firstLine="560" w:firstLineChars="200"/>
        <w:jc w:val="both"/>
        <w:rPr>
          <w:bCs w:val="0"/>
          <w:spacing w:val="0"/>
          <w:kern w:val="0"/>
        </w:rPr>
      </w:pPr>
      <w:r>
        <w:rPr>
          <w:rFonts w:hint="eastAsia"/>
          <w:bCs w:val="0"/>
          <w:spacing w:val="0"/>
          <w:kern w:val="0"/>
        </w:rPr>
        <w:t>（1）成本效益分析法，是指将一定时期内总成本与总效益进行对比分析，以评价绩效目标实现程度。</w:t>
      </w:r>
    </w:p>
    <w:p>
      <w:pPr>
        <w:spacing w:line="560" w:lineRule="exact"/>
        <w:ind w:firstLine="560" w:firstLineChars="200"/>
        <w:jc w:val="both"/>
        <w:rPr>
          <w:bCs w:val="0"/>
          <w:spacing w:val="0"/>
          <w:kern w:val="0"/>
        </w:rPr>
      </w:pPr>
      <w:r>
        <w:rPr>
          <w:rFonts w:hint="eastAsia"/>
          <w:bCs w:val="0"/>
          <w:spacing w:val="0"/>
          <w:kern w:val="0"/>
        </w:rPr>
        <w:t>（2）比较法，通过整理本项目相关资料和数据，评价数量指标的完成情况；通过分析项目的实施情况与绩效目标实现情况，评价项目实施的效果；通过分析项目资金使用情况及产生的效果，评价预算资金分配的合理性。</w:t>
      </w:r>
    </w:p>
    <w:p>
      <w:pPr>
        <w:spacing w:line="560" w:lineRule="exact"/>
        <w:ind w:firstLine="560" w:firstLineChars="200"/>
        <w:jc w:val="both"/>
        <w:rPr>
          <w:bCs w:val="0"/>
          <w:spacing w:val="0"/>
          <w:kern w:val="0"/>
        </w:rPr>
      </w:pPr>
      <w:r>
        <w:rPr>
          <w:rFonts w:hint="eastAsia"/>
          <w:bCs w:val="0"/>
          <w:spacing w:val="0"/>
          <w:kern w:val="0"/>
        </w:rPr>
        <w:t>（3）综合指数评价法，是指把各项绩效指标的实际水平，对照评价标准值，分别计算各项指标评价得分，再按照设定的各项指标权数计算出综合评价得分，分析评价绩效目标实现情况的评价方法。</w:t>
      </w:r>
    </w:p>
    <w:p>
      <w:pPr>
        <w:spacing w:line="560" w:lineRule="exact"/>
        <w:ind w:firstLine="560" w:firstLineChars="200"/>
        <w:jc w:val="both"/>
        <w:rPr>
          <w:bCs w:val="0"/>
          <w:spacing w:val="0"/>
          <w:kern w:val="0"/>
        </w:rPr>
      </w:pPr>
      <w:r>
        <w:rPr>
          <w:rFonts w:hint="eastAsia"/>
          <w:bCs w:val="0"/>
          <w:spacing w:val="0"/>
          <w:kern w:val="0"/>
        </w:rPr>
        <w:t>（4）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spacing w:line="560" w:lineRule="exact"/>
        <w:ind w:firstLine="562" w:firstLineChars="200"/>
        <w:jc w:val="both"/>
        <w:rPr>
          <w:b/>
          <w:bCs w:val="0"/>
          <w:snapToGrid w:val="0"/>
          <w:spacing w:val="0"/>
          <w:kern w:val="0"/>
        </w:rPr>
      </w:pPr>
      <w:r>
        <w:rPr>
          <w:rFonts w:hint="eastAsia"/>
          <w:b/>
          <w:bCs w:val="0"/>
          <w:snapToGrid w:val="0"/>
          <w:spacing w:val="0"/>
          <w:kern w:val="0"/>
        </w:rPr>
        <w:t>4.绩效评价标准</w:t>
      </w:r>
    </w:p>
    <w:p>
      <w:pPr>
        <w:spacing w:line="560" w:lineRule="exact"/>
        <w:ind w:firstLine="560" w:firstLineChars="200"/>
        <w:jc w:val="both"/>
        <w:rPr>
          <w:bCs w:val="0"/>
          <w:spacing w:val="0"/>
          <w:kern w:val="0"/>
        </w:rPr>
      </w:pPr>
      <w:r>
        <w:rPr>
          <w:rFonts w:hint="eastAsia"/>
          <w:bCs w:val="0"/>
          <w:spacing w:val="0"/>
          <w:kern w:val="0"/>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3"/>
        <w:ind w:firstLine="562" w:firstLineChars="200"/>
        <w:rPr>
          <w:rFonts w:ascii="仿宋" w:hAnsi="仿宋" w:eastAsia="仿宋"/>
          <w:b/>
          <w:iCs w:val="0"/>
          <w:spacing w:val="0"/>
          <w:sz w:val="28"/>
          <w:szCs w:val="28"/>
        </w:rPr>
      </w:pPr>
      <w:bookmarkStart w:id="6" w:name="_Toc163410623"/>
      <w:r>
        <w:rPr>
          <w:rFonts w:hint="eastAsia" w:ascii="仿宋" w:hAnsi="仿宋" w:eastAsia="仿宋"/>
          <w:b/>
          <w:iCs w:val="0"/>
          <w:spacing w:val="0"/>
          <w:sz w:val="28"/>
          <w:szCs w:val="28"/>
        </w:rPr>
        <w:t>（三）绩效评价工作过程</w:t>
      </w:r>
      <w:bookmarkEnd w:id="6"/>
    </w:p>
    <w:p>
      <w:pPr>
        <w:pStyle w:val="52"/>
        <w:spacing w:line="560" w:lineRule="exact"/>
        <w:ind w:firstLine="560" w:firstLineChars="200"/>
        <w:jc w:val="both"/>
        <w:rPr>
          <w:rFonts w:cs="仿宋"/>
          <w:bCs w:val="0"/>
          <w:spacing w:val="0"/>
        </w:rPr>
      </w:pPr>
      <w:r>
        <w:rPr>
          <w:rFonts w:hint="eastAsia" w:cs="仿宋"/>
          <w:bCs w:val="0"/>
          <w:spacing w:val="0"/>
        </w:rPr>
        <w:t>本次评价成立了评价工作组，成员如下：</w:t>
      </w:r>
    </w:p>
    <w:p>
      <w:pPr>
        <w:pStyle w:val="52"/>
        <w:spacing w:line="560" w:lineRule="exact"/>
        <w:ind w:firstLine="560" w:firstLineChars="200"/>
        <w:jc w:val="both"/>
        <w:rPr>
          <w:rFonts w:cs="仿宋"/>
          <w:bCs w:val="0"/>
          <w:spacing w:val="0"/>
        </w:rPr>
      </w:pPr>
      <w:r>
        <w:rPr>
          <w:rFonts w:hint="eastAsia" w:cs="仿宋"/>
          <w:bCs w:val="0"/>
          <w:spacing w:val="0"/>
        </w:rPr>
        <w:t>本次评价设计了评价方案、评价指标体系，通过资料分析、调研、访谈满意度调查等方式形成评价结论，在与项目单位沟通后确定评价意见，并出具评价报告。</w:t>
      </w:r>
    </w:p>
    <w:p>
      <w:pPr>
        <w:pStyle w:val="52"/>
        <w:spacing w:line="560" w:lineRule="exact"/>
        <w:ind w:firstLine="560" w:firstLineChars="200"/>
        <w:jc w:val="both"/>
        <w:rPr>
          <w:rFonts w:cs="仿宋"/>
          <w:bCs w:val="0"/>
          <w:spacing w:val="0"/>
        </w:rPr>
      </w:pPr>
      <w:r>
        <w:rPr>
          <w:rFonts w:hint="eastAsia" w:cs="仿宋"/>
          <w:bCs w:val="0"/>
          <w:spacing w:val="0"/>
        </w:rPr>
        <w:t>第一阶段：前期准备。认真学习相关要求与规定，成立绩效评价工作组，作为绩效评价工作具体实施机构。成员构成如下：</w:t>
      </w:r>
    </w:p>
    <w:p>
      <w:pPr>
        <w:pStyle w:val="52"/>
        <w:spacing w:line="560" w:lineRule="exact"/>
        <w:ind w:firstLine="560" w:firstLineChars="200"/>
        <w:jc w:val="both"/>
        <w:rPr>
          <w:rFonts w:cs="仿宋"/>
          <w:bCs w:val="0"/>
          <w:spacing w:val="0"/>
        </w:rPr>
      </w:pPr>
      <w:r>
        <w:rPr>
          <w:rFonts w:hint="eastAsia" w:cs="仿宋"/>
          <w:bCs w:val="0"/>
          <w:spacing w:val="0"/>
        </w:rPr>
        <w:t>龚丽春任评价组组长，职务为信息中心党总支成员、副主任（副馆长），绩效评价工作职责为负责全盘工作。</w:t>
      </w:r>
    </w:p>
    <w:p>
      <w:pPr>
        <w:pStyle w:val="52"/>
        <w:spacing w:line="560" w:lineRule="exact"/>
        <w:ind w:firstLine="560" w:firstLineChars="200"/>
        <w:jc w:val="both"/>
        <w:rPr>
          <w:rFonts w:cs="仿宋"/>
          <w:bCs w:val="0"/>
          <w:spacing w:val="0"/>
        </w:rPr>
      </w:pPr>
      <w:r>
        <w:rPr>
          <w:rFonts w:hint="eastAsia" w:cs="仿宋"/>
          <w:bCs w:val="0"/>
          <w:spacing w:val="0"/>
        </w:rPr>
        <w:t>林洁、雷诚任评价组副组长，绩效评价工作职责为对项目实施情况进行实地调查。</w:t>
      </w:r>
    </w:p>
    <w:p>
      <w:pPr>
        <w:pStyle w:val="52"/>
        <w:spacing w:line="560" w:lineRule="exact"/>
        <w:ind w:firstLine="560" w:firstLineChars="200"/>
        <w:jc w:val="both"/>
        <w:rPr>
          <w:rFonts w:cs="仿宋"/>
          <w:bCs w:val="0"/>
          <w:spacing w:val="0"/>
        </w:rPr>
      </w:pPr>
      <w:r>
        <w:rPr>
          <w:rFonts w:hint="eastAsia" w:cs="仿宋"/>
          <w:bCs w:val="0"/>
          <w:spacing w:val="0"/>
        </w:rPr>
        <w:t>陈婕、李敏、宋文惠任评价组成员，绩效评价工作职责为负责资料审核等工作。</w:t>
      </w:r>
    </w:p>
    <w:p>
      <w:pPr>
        <w:pStyle w:val="52"/>
        <w:spacing w:line="560" w:lineRule="exact"/>
        <w:ind w:firstLine="560" w:firstLineChars="200"/>
        <w:jc w:val="both"/>
        <w:rPr>
          <w:rFonts w:cs="仿宋"/>
          <w:bCs w:val="0"/>
          <w:spacing w:val="0"/>
        </w:rPr>
      </w:pPr>
      <w:r>
        <w:rPr>
          <w:rFonts w:hint="eastAsia" w:cs="仿宋"/>
          <w:bCs w:val="0"/>
          <w:spacing w:val="0"/>
        </w:rPr>
        <w:t>第二阶段：组织实施。经评价组通过实地调研等方式，采用综合分析法对项目的决策、管理、绩效进行的综合评价分析。</w:t>
      </w:r>
    </w:p>
    <w:p>
      <w:pPr>
        <w:pStyle w:val="52"/>
        <w:spacing w:line="560" w:lineRule="exact"/>
        <w:ind w:firstLine="560" w:firstLineChars="200"/>
        <w:jc w:val="both"/>
        <w:rPr>
          <w:rFonts w:cs="仿宋"/>
          <w:bCs w:val="0"/>
          <w:spacing w:val="0"/>
        </w:rPr>
      </w:pPr>
      <w:r>
        <w:rPr>
          <w:rFonts w:hint="eastAsia" w:cs="仿宋"/>
          <w:bCs w:val="0"/>
          <w:spacing w:val="0"/>
        </w:rPr>
        <w:t>第三阶段：分析评价。首先按照指标体系进行定量、定性分析。其次开展量化打分、综合评价工作，形成初步评价结论。最后归纳整体项目情况与存在问题，撰写部门绩效评价报告。</w:t>
      </w:r>
    </w:p>
    <w:p>
      <w:pPr>
        <w:pStyle w:val="52"/>
        <w:spacing w:line="560" w:lineRule="exact"/>
        <w:ind w:firstLine="560" w:firstLineChars="200"/>
        <w:jc w:val="both"/>
        <w:rPr>
          <w:rFonts w:cs="仿宋"/>
          <w:bCs w:val="0"/>
          <w:spacing w:val="0"/>
        </w:rPr>
      </w:pPr>
      <w:bookmarkStart w:id="7" w:name="_Toc2618"/>
      <w:r>
        <w:rPr>
          <w:rFonts w:hint="eastAsia" w:cs="仿宋"/>
          <w:bCs w:val="0"/>
          <w:spacing w:val="0"/>
        </w:rPr>
        <w:t>第四阶段：撰写与提交评价报告</w:t>
      </w:r>
      <w:bookmarkEnd w:id="7"/>
    </w:p>
    <w:p>
      <w:pPr>
        <w:pStyle w:val="52"/>
        <w:spacing w:line="560" w:lineRule="exact"/>
        <w:ind w:firstLine="560" w:firstLineChars="200"/>
        <w:jc w:val="both"/>
        <w:rPr>
          <w:rFonts w:cs="仿宋"/>
          <w:bCs w:val="0"/>
          <w:spacing w:val="0"/>
        </w:rPr>
      </w:pPr>
      <w:r>
        <w:rPr>
          <w:rFonts w:hint="eastAsia" w:cs="仿宋"/>
          <w:bCs w:val="0"/>
          <w:spacing w:val="0"/>
        </w:rPr>
        <w:t>项目撰写绩效评价报告，按照财政局大平台绩效系统中统一格式和文本框架撰写绩效评价报告。</w:t>
      </w:r>
    </w:p>
    <w:p>
      <w:pPr>
        <w:pStyle w:val="52"/>
        <w:spacing w:line="560" w:lineRule="exact"/>
        <w:ind w:firstLine="560" w:firstLineChars="200"/>
        <w:jc w:val="both"/>
        <w:rPr>
          <w:rFonts w:cs="仿宋"/>
          <w:bCs w:val="0"/>
          <w:spacing w:val="0"/>
        </w:rPr>
      </w:pPr>
      <w:bookmarkStart w:id="8" w:name="_Toc5055"/>
      <w:r>
        <w:rPr>
          <w:rFonts w:hint="eastAsia" w:cs="仿宋"/>
          <w:bCs w:val="0"/>
          <w:spacing w:val="0"/>
        </w:rPr>
        <w:t>第五阶段：归集档案</w:t>
      </w:r>
      <w:bookmarkEnd w:id="8"/>
    </w:p>
    <w:p>
      <w:pPr>
        <w:pStyle w:val="52"/>
        <w:spacing w:line="560" w:lineRule="exact"/>
        <w:ind w:firstLine="560" w:firstLineChars="200"/>
        <w:jc w:val="both"/>
        <w:rPr>
          <w:rFonts w:cs="仿宋"/>
          <w:bCs w:val="0"/>
          <w:spacing w:val="0"/>
        </w:rPr>
      </w:pPr>
      <w:r>
        <w:rPr>
          <w:rFonts w:hint="eastAsia" w:cs="仿宋"/>
          <w:bCs w:val="0"/>
          <w:spacing w:val="0"/>
        </w:rPr>
        <w:t>建立和落实档案管理制度，将项目相关资料存档，包括但不限于：评价项目基本情况和相关文件、评价实施方案、项目支付资料等相关档案。</w:t>
      </w:r>
    </w:p>
    <w:p>
      <w:pPr>
        <w:pStyle w:val="2"/>
        <w:spacing w:before="62"/>
        <w:ind w:firstLine="640" w:firstLineChars="200"/>
        <w:rPr>
          <w:rFonts w:ascii="方正黑体_GBK" w:hAnsi="方正黑体_GBK" w:eastAsia="方正黑体_GBK" w:cs="方正黑体_GBK"/>
          <w:b/>
          <w:spacing w:val="0"/>
          <w:kern w:val="2"/>
        </w:rPr>
      </w:pPr>
      <w:bookmarkStart w:id="9" w:name="_Toc163410624"/>
      <w:r>
        <w:rPr>
          <w:rFonts w:hint="eastAsia" w:ascii="方正黑体_GBK" w:hAnsi="方正黑体_GBK" w:eastAsia="方正黑体_GBK" w:cs="方正黑体_GBK"/>
          <w:b/>
          <w:spacing w:val="0"/>
          <w:kern w:val="2"/>
        </w:rPr>
        <w:t>三、综合评价情况及评价结论</w:t>
      </w:r>
      <w:bookmarkEnd w:id="9"/>
    </w:p>
    <w:p>
      <w:pPr>
        <w:pStyle w:val="3"/>
        <w:ind w:firstLine="562" w:firstLineChars="200"/>
        <w:rPr>
          <w:rFonts w:ascii="仿宋" w:hAnsi="仿宋" w:eastAsia="仿宋"/>
          <w:b/>
          <w:iCs w:val="0"/>
          <w:spacing w:val="0"/>
          <w:sz w:val="28"/>
          <w:szCs w:val="28"/>
        </w:rPr>
      </w:pPr>
      <w:bookmarkStart w:id="10" w:name="_Toc163410625"/>
      <w:r>
        <w:rPr>
          <w:rFonts w:hint="eastAsia" w:ascii="仿宋" w:hAnsi="仿宋" w:eastAsia="仿宋"/>
          <w:b/>
          <w:iCs w:val="0"/>
          <w:spacing w:val="0"/>
          <w:sz w:val="28"/>
          <w:szCs w:val="28"/>
        </w:rPr>
        <w:t>（一）综合评价情况</w:t>
      </w:r>
      <w:bookmarkEnd w:id="10"/>
    </w:p>
    <w:p>
      <w:pPr>
        <w:spacing w:line="560" w:lineRule="exact"/>
        <w:ind w:firstLine="560" w:firstLineChars="200"/>
        <w:jc w:val="both"/>
        <w:rPr>
          <w:bCs w:val="0"/>
          <w:spacing w:val="0"/>
          <w:kern w:val="0"/>
        </w:rPr>
      </w:pPr>
      <w:r>
        <w:rPr>
          <w:rFonts w:hint="eastAsia"/>
          <w:bCs w:val="0"/>
          <w:spacing w:val="0"/>
          <w:kern w:val="0"/>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p>
    <w:p>
      <w:pPr>
        <w:spacing w:line="560" w:lineRule="exact"/>
        <w:ind w:firstLine="560" w:firstLineChars="200"/>
        <w:jc w:val="both"/>
        <w:rPr>
          <w:bCs w:val="0"/>
          <w:spacing w:val="0"/>
          <w:kern w:val="0"/>
        </w:rPr>
      </w:pPr>
      <w:r>
        <w:rPr>
          <w:rFonts w:hint="eastAsia"/>
          <w:bCs w:val="0"/>
          <w:spacing w:val="0"/>
          <w:kern w:val="0"/>
        </w:rPr>
        <w:t>评价组对照项目绩效评价指标体系，从决策、过程、产出和效益四个维度，通过数据采集、实地调研和问卷访谈等方式，对“2023年经营收入成本性支出项目”项目绩效进行客观公正的评价，对2023年经营收入成本性支出项目进行客观评价，最终评分结果：总得分为96.13分，属于“优”。其中，决策类指标得分20分，过程类指标得分19.28分，产出类指标得分36.85分，效益类指标得分20分。</w:t>
      </w:r>
    </w:p>
    <w:p>
      <w:pPr>
        <w:pStyle w:val="3"/>
        <w:ind w:firstLine="562" w:firstLineChars="200"/>
        <w:rPr>
          <w:rFonts w:ascii="仿宋" w:hAnsi="仿宋" w:eastAsia="仿宋"/>
          <w:b/>
          <w:iCs w:val="0"/>
          <w:spacing w:val="0"/>
          <w:sz w:val="28"/>
          <w:szCs w:val="28"/>
        </w:rPr>
      </w:pPr>
      <w:bookmarkStart w:id="11" w:name="_Toc163410626"/>
      <w:r>
        <w:rPr>
          <w:rFonts w:hint="eastAsia" w:ascii="仿宋" w:hAnsi="仿宋" w:eastAsia="仿宋"/>
          <w:b/>
          <w:iCs w:val="0"/>
          <w:spacing w:val="0"/>
          <w:sz w:val="28"/>
          <w:szCs w:val="28"/>
        </w:rPr>
        <w:t>（二）综合评价结论</w:t>
      </w:r>
      <w:bookmarkEnd w:id="11"/>
    </w:p>
    <w:p>
      <w:pPr>
        <w:spacing w:line="480" w:lineRule="auto"/>
        <w:ind w:firstLine="560" w:firstLineChars="200"/>
        <w:jc w:val="left"/>
        <w:rPr>
          <w:bCs w:val="0"/>
          <w:spacing w:val="0"/>
          <w:kern w:val="0"/>
        </w:rPr>
      </w:pPr>
      <w:r>
        <w:rPr>
          <w:rFonts w:hint="eastAsia"/>
          <w:bCs w:val="0"/>
          <w:spacing w:val="0"/>
          <w:kern w:val="0"/>
        </w:rPr>
        <w:t>经评价，本项目达到了年初设立的绩效目标，在实施过程中取得了良好的成效，具体表现在：项目实施过程中的各项绩效目标完成值，已完成（1）新疆地质钻孔图表及结构化数据采集更新、区域地质钻孔结构化数据采集年度中期质量检查报告及区域地质钻孔结构化数据采集年度成果报告；（2）1000个地质调查钻孔数据更新采集。（3）吐鲁番市、托克逊县、鄯善县国土空间规划“一张图”数据库建设、实施监督信息系统及实施监督系统对接并实现信息的共建共享共用等工作。（4）预期计算机制图工作。（5）库尔勒市、伊宁市商业、居住及工业监测点动态监测数据采集与维护工作，完成数据采集的动态监测点120个。为自治区地质调查院自然资源业务网运行提供了技术服务。（6）矿山三维数据采集与建模技术服务，新增了外业项目专用设备3个。为经营性项目顺利实施提供了保障。因采用更加了先进设备和应用技术，大幅度提升了工作效率和减少了人员投入；同时根据实际工作需求，减少了部分项目成本及业务开展需求，推动了项目顺利有序的开展，产生良好的经济效益。</w:t>
      </w:r>
    </w:p>
    <w:p>
      <w:pPr>
        <w:pStyle w:val="2"/>
        <w:spacing w:before="62"/>
        <w:ind w:firstLine="640" w:firstLineChars="200"/>
        <w:rPr>
          <w:rFonts w:ascii="方正黑体_GBK" w:hAnsi="方正黑体_GBK" w:eastAsia="方正黑体_GBK" w:cs="方正黑体_GBK"/>
          <w:b/>
          <w:spacing w:val="0"/>
          <w:kern w:val="2"/>
        </w:rPr>
      </w:pPr>
      <w:bookmarkStart w:id="12" w:name="_Toc163410627"/>
      <w:r>
        <w:rPr>
          <w:rFonts w:hint="eastAsia" w:ascii="方正黑体_GBK" w:hAnsi="方正黑体_GBK" w:eastAsia="方正黑体_GBK" w:cs="方正黑体_GBK"/>
          <w:b/>
          <w:spacing w:val="0"/>
          <w:kern w:val="2"/>
        </w:rPr>
        <w:t>四、绩效评价指标分析</w:t>
      </w:r>
      <w:bookmarkEnd w:id="12"/>
    </w:p>
    <w:p>
      <w:pPr>
        <w:pStyle w:val="3"/>
        <w:ind w:firstLine="562" w:firstLineChars="200"/>
        <w:rPr>
          <w:rFonts w:ascii="仿宋" w:hAnsi="仿宋" w:eastAsia="仿宋"/>
          <w:b/>
          <w:iCs w:val="0"/>
          <w:spacing w:val="0"/>
          <w:sz w:val="28"/>
          <w:szCs w:val="28"/>
        </w:rPr>
      </w:pPr>
      <w:bookmarkStart w:id="13" w:name="_Toc163410628"/>
      <w:r>
        <w:rPr>
          <w:rFonts w:hint="eastAsia" w:ascii="仿宋" w:hAnsi="仿宋" w:eastAsia="仿宋"/>
          <w:b/>
          <w:iCs w:val="0"/>
          <w:spacing w:val="0"/>
          <w:sz w:val="28"/>
          <w:szCs w:val="28"/>
        </w:rPr>
        <w:t>（一）项目决策情况。</w:t>
      </w:r>
      <w:bookmarkEnd w:id="13"/>
    </w:p>
    <w:p>
      <w:pPr>
        <w:overflowPunct w:val="0"/>
        <w:spacing w:line="560" w:lineRule="exact"/>
        <w:ind w:firstLine="560" w:firstLineChars="200"/>
        <w:contextualSpacing/>
        <w:jc w:val="both"/>
        <w:rPr>
          <w:bCs w:val="0"/>
          <w:spacing w:val="0"/>
        </w:rPr>
      </w:pPr>
      <w:r>
        <w:rPr>
          <w:rFonts w:hint="eastAsia"/>
          <w:bCs w:val="0"/>
          <w:spacing w:val="0"/>
        </w:rPr>
        <w:t>项目决策类指标包括项目立项、绩效目标和资金投入三方面的内容，由6个三级指标构成，权重分为20分，实际得分20分，得分率为100%。</w:t>
      </w:r>
    </w:p>
    <w:p>
      <w:pPr>
        <w:spacing w:line="560" w:lineRule="exact"/>
        <w:ind w:firstLine="546" w:firstLineChars="200"/>
        <w:jc w:val="both"/>
        <w:rPr>
          <w:bCs w:val="0"/>
          <w:spacing w:val="0"/>
        </w:rPr>
      </w:pPr>
      <w:r>
        <w:rPr>
          <w:rFonts w:hint="eastAsia"/>
          <w:b/>
        </w:rPr>
        <w:t>（1）</w:t>
      </w:r>
      <w:r>
        <w:rPr>
          <w:rFonts w:hint="eastAsia"/>
          <w:b/>
          <w:spacing w:val="0"/>
        </w:rPr>
        <w:t>立项依据充分性：</w:t>
      </w:r>
      <w:r>
        <w:rPr>
          <w:rFonts w:hint="eastAsia"/>
          <w:bCs w:val="0"/>
          <w:spacing w:val="0"/>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根据评分标准，该指标不扣分，得3分。</w:t>
      </w:r>
    </w:p>
    <w:p>
      <w:pPr>
        <w:spacing w:line="560" w:lineRule="exact"/>
        <w:ind w:firstLine="546" w:firstLineChars="200"/>
        <w:jc w:val="both"/>
        <w:rPr>
          <w:bCs w:val="0"/>
          <w:spacing w:val="0"/>
        </w:rPr>
      </w:pPr>
      <w:r>
        <w:rPr>
          <w:rFonts w:hint="eastAsia"/>
          <w:b/>
        </w:rPr>
        <w:t>（2）</w:t>
      </w:r>
      <w:r>
        <w:rPr>
          <w:rFonts w:hint="eastAsia"/>
          <w:b/>
          <w:spacing w:val="0"/>
        </w:rPr>
        <w:t>立项程序规范性：</w:t>
      </w:r>
      <w:r>
        <w:rPr>
          <w:rFonts w:hint="eastAsia"/>
          <w:bCs w:val="0"/>
          <w:spacing w:val="0"/>
        </w:rPr>
        <w:t>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分标准，该指标不扣分，得2分。</w:t>
      </w:r>
    </w:p>
    <w:p>
      <w:pPr>
        <w:spacing w:line="560" w:lineRule="exact"/>
        <w:ind w:firstLine="546" w:firstLineChars="200"/>
        <w:jc w:val="both"/>
        <w:rPr>
          <w:bCs w:val="0"/>
          <w:spacing w:val="0"/>
        </w:rPr>
      </w:pPr>
      <w:r>
        <w:rPr>
          <w:rFonts w:hint="eastAsia"/>
          <w:b/>
        </w:rPr>
        <w:t>（3）</w:t>
      </w:r>
      <w:r>
        <w:rPr>
          <w:rFonts w:hint="eastAsia"/>
          <w:b/>
          <w:spacing w:val="0"/>
        </w:rPr>
        <w:t>绩效目标合理性：</w:t>
      </w:r>
      <w:r>
        <w:rPr>
          <w:rFonts w:hint="eastAsia"/>
          <w:bCs w:val="0"/>
          <w:spacing w:val="0"/>
        </w:rPr>
        <w:t>制定了实施方案，明确了总体思路及目标。绩效目标表经过审核，绩效目标与实际工作内容具有相关性，预算与确定的项目投资额相匹配，对项目任务进行了详细分解，项目预期产出效益及效果符合正常的业绩水平。根据评分标准，该指标不扣分，得2分。</w:t>
      </w:r>
    </w:p>
    <w:p>
      <w:pPr>
        <w:spacing w:line="560" w:lineRule="exact"/>
        <w:ind w:firstLine="546" w:firstLineChars="200"/>
        <w:jc w:val="both"/>
        <w:rPr>
          <w:bCs w:val="0"/>
          <w:spacing w:val="0"/>
        </w:rPr>
      </w:pPr>
      <w:r>
        <w:rPr>
          <w:rFonts w:hint="eastAsia"/>
          <w:b/>
        </w:rPr>
        <w:t>（4）</w:t>
      </w:r>
      <w:r>
        <w:rPr>
          <w:rFonts w:hint="eastAsia"/>
          <w:b/>
          <w:spacing w:val="0"/>
        </w:rPr>
        <w:t>绩效指标明确性：</w:t>
      </w:r>
      <w:r>
        <w:rPr>
          <w:rFonts w:hint="eastAsia"/>
          <w:bCs w:val="0"/>
          <w:spacing w:val="0"/>
        </w:rPr>
        <w:t>项目设置了明确的预期产出效益和效果，将绩效目标细化分解为具体的绩效指标，绩效目标与项目目标任务数相对应，绩效目标设定的绩效指标清晰、细化、可衡量。该指标不扣分，得2分。</w:t>
      </w:r>
    </w:p>
    <w:p>
      <w:pPr>
        <w:spacing w:line="560" w:lineRule="exact"/>
        <w:ind w:firstLine="546" w:firstLineChars="200"/>
        <w:jc w:val="both"/>
        <w:rPr>
          <w:bCs w:val="0"/>
          <w:spacing w:val="0"/>
        </w:rPr>
      </w:pPr>
      <w:r>
        <w:rPr>
          <w:rFonts w:hint="eastAsia"/>
          <w:b/>
        </w:rPr>
        <w:t>（5）</w:t>
      </w:r>
      <w:r>
        <w:rPr>
          <w:rFonts w:hint="eastAsia"/>
          <w:b/>
          <w:spacing w:val="0"/>
        </w:rPr>
        <w:t>预算编制科学性：</w:t>
      </w:r>
      <w:r>
        <w:rPr>
          <w:rFonts w:hint="eastAsia"/>
          <w:bCs w:val="0"/>
          <w:spacing w:val="0"/>
        </w:rPr>
        <w:t>预算编制依据《关于开展全国重要地质钻孔数据库建设工作》的通知，国土资发[2013]88号、《自然资源部办公厅关于开展国土空间规划“一张图”建设和现状评估工作的通知》、《城市地价动态监测技术规范》(TD/T1009-2007)、《自然资源三维立体时空数据库建设总体方案》，预算编制经过科学论证，提供充分的测算依据佐证资料，预算内容与项目内容相匹配。项目投资额与工作任务相匹配。根据评分标准，该指标不扣分，得5分。</w:t>
      </w:r>
    </w:p>
    <w:p>
      <w:pPr>
        <w:spacing w:line="560" w:lineRule="exact"/>
        <w:ind w:firstLine="546" w:firstLineChars="200"/>
        <w:jc w:val="both"/>
        <w:rPr>
          <w:bCs w:val="0"/>
          <w:spacing w:val="0"/>
        </w:rPr>
      </w:pPr>
      <w:r>
        <w:rPr>
          <w:rFonts w:hint="eastAsia"/>
          <w:b/>
        </w:rPr>
        <w:t>（6）</w:t>
      </w:r>
      <w:r>
        <w:rPr>
          <w:rFonts w:hint="eastAsia"/>
          <w:b/>
          <w:spacing w:val="0"/>
        </w:rPr>
        <w:t>资金分配合理性：</w:t>
      </w:r>
      <w:r>
        <w:rPr>
          <w:rFonts w:hint="eastAsia"/>
          <w:bCs w:val="0"/>
          <w:spacing w:val="0"/>
        </w:rPr>
        <w:t>依据《事业单位财务规则》（财政部令第108号）第四章第二十一条（二），经营支出即事业单位在专业业务活动及其辅助活动之外开展非独立核算经营活动发生的支出。第四章第二十二条，事业单位应当将各项支出全部纳入单位预算，实行项目库管理，建立健全支出管理制度，资金分配额度与项目单位实际工作内容相适应，资金分配额度合理，资金分配依据充分。根据评分标准，该指标不扣分，得5分。</w:t>
      </w:r>
    </w:p>
    <w:p>
      <w:pPr>
        <w:pStyle w:val="3"/>
        <w:ind w:firstLine="562" w:firstLineChars="200"/>
        <w:rPr>
          <w:rFonts w:ascii="仿宋" w:hAnsi="仿宋" w:eastAsia="仿宋"/>
          <w:b/>
          <w:iCs w:val="0"/>
          <w:spacing w:val="0"/>
          <w:sz w:val="28"/>
          <w:szCs w:val="28"/>
        </w:rPr>
      </w:pPr>
      <w:bookmarkStart w:id="14" w:name="_Toc163410629"/>
      <w:r>
        <w:rPr>
          <w:rFonts w:hint="eastAsia" w:ascii="仿宋" w:hAnsi="仿宋" w:eastAsia="仿宋"/>
          <w:b/>
          <w:iCs w:val="0"/>
          <w:spacing w:val="0"/>
          <w:sz w:val="28"/>
          <w:szCs w:val="28"/>
        </w:rPr>
        <w:t>（二）项目过程情况</w:t>
      </w:r>
      <w:bookmarkEnd w:id="14"/>
    </w:p>
    <w:p>
      <w:pPr>
        <w:adjustRightInd w:val="0"/>
        <w:spacing w:line="560" w:lineRule="exact"/>
        <w:ind w:firstLine="560" w:firstLineChars="200"/>
        <w:jc w:val="both"/>
        <w:rPr>
          <w:bCs w:val="0"/>
          <w:spacing w:val="0"/>
        </w:rPr>
      </w:pPr>
      <w:r>
        <w:rPr>
          <w:rFonts w:hint="eastAsia"/>
          <w:bCs w:val="0"/>
          <w:spacing w:val="0"/>
        </w:rPr>
        <w:t>项目过程类指标包括资金管理和组织实施两方面的内容，由5个三级指标构成，权重分为20分，实际得分19.28分，得分率为96.4%。</w:t>
      </w:r>
    </w:p>
    <w:p>
      <w:pPr>
        <w:spacing w:line="560" w:lineRule="exact"/>
        <w:ind w:firstLine="546" w:firstLineChars="200"/>
        <w:jc w:val="both"/>
        <w:rPr>
          <w:rFonts w:ascii="Times New Roman" w:hAnsi="Times New Roman" w:cs="Times New Roman"/>
          <w:color w:val="000000" w:themeColor="text1"/>
          <w:sz w:val="32"/>
          <w:szCs w:val="32"/>
        </w:rPr>
      </w:pPr>
      <w:r>
        <w:rPr>
          <w:rFonts w:hint="eastAsia"/>
          <w:b/>
        </w:rPr>
        <w:t>（1）资金到位率：</w:t>
      </w:r>
      <w:r>
        <w:rPr>
          <w:rFonts w:hint="eastAsia"/>
          <w:bCs w:val="0"/>
          <w:spacing w:val="0"/>
        </w:rPr>
        <w:t>本项目总投资263万元，单位资金及时足额到位，到位率100%，预算资金按计划进度执行。资金足额拨付到位，根据评分标准，该指标不扣分，得5分。</w:t>
      </w:r>
    </w:p>
    <w:p>
      <w:pPr>
        <w:spacing w:line="560" w:lineRule="exact"/>
        <w:ind w:firstLine="546" w:firstLineChars="200"/>
        <w:jc w:val="both"/>
        <w:rPr>
          <w:bCs w:val="0"/>
          <w:spacing w:val="0"/>
        </w:rPr>
      </w:pPr>
      <w:r>
        <w:rPr>
          <w:rFonts w:hint="eastAsia"/>
          <w:b/>
        </w:rPr>
        <w:t>（2）预算执行率：</w:t>
      </w:r>
      <w:r>
        <w:rPr>
          <w:rFonts w:hint="eastAsia"/>
          <w:bCs w:val="0"/>
          <w:spacing w:val="0"/>
        </w:rPr>
        <w:t>本项目申请预算金额为263万元，预算批复实际下达金额为263万元截至2023年12月31日，资金执行224.98万元，资金执行率85.54%。该项目资金支出总体能够按照预算执行，根据评分标准，该指标，得4.28分。</w:t>
      </w:r>
    </w:p>
    <w:p>
      <w:pPr>
        <w:spacing w:line="560" w:lineRule="exact"/>
        <w:ind w:firstLine="546" w:firstLineChars="200"/>
        <w:jc w:val="both"/>
        <w:rPr>
          <w:bCs w:val="0"/>
          <w:spacing w:val="0"/>
        </w:rPr>
      </w:pPr>
      <w:r>
        <w:rPr>
          <w:rFonts w:hint="eastAsia"/>
          <w:b/>
        </w:rPr>
        <w:t>（3）</w:t>
      </w:r>
      <w:r>
        <w:rPr>
          <w:rFonts w:hint="eastAsia"/>
          <w:b/>
          <w:spacing w:val="0"/>
        </w:rPr>
        <w:t>资金使用合规性：</w:t>
      </w:r>
      <w:r>
        <w:rPr>
          <w:rFonts w:hint="eastAsia"/>
          <w:bCs w:val="0"/>
          <w:spacing w:val="0"/>
        </w:rPr>
        <w:t>依据《事业单位财务规则》（财政部令第108号）第四章第二十一条（二），经营支出即事业单位在专业业务活动及其辅助活动之外开展非独立核算经营活动发生的支出。第四章第二十二条，事业单位应当将各项支出全部纳入单位预算，实行项目库管理，建立健全支出管理制度。符合预算批复规定用途，不存在截留、挤占、挪用、虚列支出等情况，未发现违规使用情况，根据评分标准，该指标不扣分，得5分。</w:t>
      </w:r>
    </w:p>
    <w:p>
      <w:pPr>
        <w:spacing w:line="240" w:lineRule="auto"/>
        <w:ind w:firstLine="546" w:firstLineChars="200"/>
        <w:jc w:val="both"/>
        <w:rPr>
          <w:bCs w:val="0"/>
          <w:color w:val="000000"/>
          <w:spacing w:val="0"/>
          <w:kern w:val="0"/>
        </w:rPr>
      </w:pPr>
      <w:r>
        <w:rPr>
          <w:rFonts w:hint="eastAsia"/>
          <w:b/>
        </w:rPr>
        <w:t>（4）</w:t>
      </w:r>
      <w:r>
        <w:rPr>
          <w:rFonts w:hint="eastAsia"/>
          <w:b/>
          <w:spacing w:val="0"/>
        </w:rPr>
        <w:t>管理制度健全性：</w:t>
      </w:r>
      <w:r>
        <w:rPr>
          <w:rFonts w:hint="eastAsia"/>
          <w:bCs w:val="0"/>
          <w:color w:val="000000"/>
          <w:spacing w:val="0"/>
          <w:kern w:val="0"/>
        </w:rPr>
        <w:t>该项目严格按照《新疆维吾尔自治区自然资源信息中心（新疆维吾尔自治区自然资源档案馆）财务制度》及《事业单位财务规则》（财政部令第108号）第四章第二十一条（二），经营支出即事业单位在专业业务活动及其辅助活动之外开展非独立核算经营活动发生的支出。第四章第二十二条，事业单位应当将各项支出全部纳入单位预算，实行项目库管理，建立健全支出管理制度。资金相关的制度和管理规定实施，对财政专项资金进行严格管理，基本做到了专款专用，根据评分标准，该指标不扣分，得2分。</w:t>
      </w:r>
    </w:p>
    <w:p>
      <w:pPr>
        <w:spacing w:line="560" w:lineRule="exact"/>
        <w:ind w:firstLine="546" w:firstLineChars="200"/>
        <w:jc w:val="both"/>
        <w:rPr>
          <w:bCs w:val="0"/>
          <w:color w:val="000000"/>
          <w:spacing w:val="0"/>
          <w:kern w:val="0"/>
        </w:rPr>
      </w:pPr>
      <w:r>
        <w:rPr>
          <w:rFonts w:hint="eastAsia"/>
          <w:b/>
        </w:rPr>
        <w:t>（5）</w:t>
      </w:r>
      <w:r>
        <w:rPr>
          <w:rFonts w:hint="eastAsia"/>
          <w:b/>
          <w:spacing w:val="0"/>
        </w:rPr>
        <w:t>制度执行有效性：</w:t>
      </w:r>
      <w:r>
        <w:rPr>
          <w:rFonts w:hint="eastAsia"/>
          <w:bCs w:val="0"/>
          <w:color w:val="000000"/>
          <w:spacing w:val="0"/>
          <w:kern w:val="0"/>
        </w:rPr>
        <w:t>对资金使用的合法合规性进行监督，年末对资金使用效果进行评价。项目管理、实施人员落实到位，有效按照计划执行。项目执行情况等资料齐全，项目相关手续完备，及时进行归档。根据评分标准，该指标不扣分，得3分。</w:t>
      </w:r>
    </w:p>
    <w:p>
      <w:pPr>
        <w:pStyle w:val="3"/>
        <w:ind w:firstLine="562" w:firstLineChars="200"/>
        <w:rPr>
          <w:rFonts w:ascii="仿宋" w:hAnsi="仿宋" w:eastAsia="仿宋"/>
          <w:b/>
          <w:iCs w:val="0"/>
          <w:spacing w:val="0"/>
          <w:sz w:val="28"/>
          <w:szCs w:val="28"/>
        </w:rPr>
      </w:pPr>
      <w:bookmarkStart w:id="15" w:name="_Toc163410630"/>
      <w:r>
        <w:rPr>
          <w:rFonts w:hint="eastAsia" w:ascii="仿宋" w:hAnsi="仿宋" w:eastAsia="仿宋"/>
          <w:b/>
          <w:iCs w:val="0"/>
          <w:spacing w:val="0"/>
          <w:sz w:val="28"/>
          <w:szCs w:val="28"/>
        </w:rPr>
        <w:t>（三）项目产出情况</w:t>
      </w:r>
      <w:bookmarkEnd w:id="15"/>
    </w:p>
    <w:p>
      <w:pPr>
        <w:spacing w:line="560" w:lineRule="exact"/>
        <w:ind w:firstLine="560" w:firstLineChars="200"/>
        <w:jc w:val="both"/>
        <w:rPr>
          <w:bCs w:val="0"/>
          <w:spacing w:val="0"/>
        </w:rPr>
      </w:pPr>
      <w:r>
        <w:rPr>
          <w:rFonts w:hint="eastAsia"/>
          <w:bCs w:val="0"/>
          <w:spacing w:val="0"/>
        </w:rPr>
        <w:t>项目产出类指标包括数量指标、质量指标和时效指标三方面的内容，由11个三级指标构成，权重分为40分，实际得分36.85分，得分率为92.12%。</w:t>
      </w:r>
    </w:p>
    <w:p>
      <w:pPr>
        <w:spacing w:line="560" w:lineRule="exact"/>
        <w:ind w:firstLine="546" w:firstLineChars="200"/>
        <w:jc w:val="both"/>
        <w:rPr>
          <w:rFonts w:ascii="Times New Roman" w:hAnsi="Times New Roman" w:cs="Times New Roman"/>
          <w:color w:val="000000" w:themeColor="text1"/>
          <w:sz w:val="32"/>
          <w:szCs w:val="32"/>
        </w:rPr>
      </w:pPr>
      <w:r>
        <w:rPr>
          <w:rFonts w:hint="eastAsia"/>
          <w:b/>
        </w:rPr>
        <w:t>（1）对于“产出数量”：</w:t>
      </w:r>
    </w:p>
    <w:p>
      <w:pPr>
        <w:spacing w:line="560" w:lineRule="exact"/>
        <w:ind w:firstLine="560" w:firstLineChars="200"/>
        <w:jc w:val="both"/>
        <w:rPr>
          <w:bCs w:val="0"/>
          <w:spacing w:val="0"/>
        </w:rPr>
      </w:pPr>
      <w:r>
        <w:rPr>
          <w:rFonts w:hint="eastAsia"/>
          <w:bCs w:val="0"/>
          <w:spacing w:val="0"/>
        </w:rPr>
        <w:t>完成数据更新采集的地质调查钻孔数，指标值：＝1000个，实际完成值：＝1000个，指标完成率100%；得1.5分。</w:t>
      </w:r>
    </w:p>
    <w:p>
      <w:pPr>
        <w:spacing w:line="560" w:lineRule="exact"/>
        <w:ind w:firstLine="560" w:firstLineChars="200"/>
        <w:jc w:val="both"/>
        <w:rPr>
          <w:bCs w:val="0"/>
          <w:spacing w:val="0"/>
        </w:rPr>
      </w:pPr>
      <w:r>
        <w:rPr>
          <w:rFonts w:hint="eastAsia"/>
          <w:bCs w:val="0"/>
          <w:spacing w:val="0"/>
        </w:rPr>
        <w:t>年度工作成果报告数量，指标值：≥4个，实际完成值：=4个，指标完成率100%；得1.5分。</w:t>
      </w:r>
    </w:p>
    <w:p>
      <w:pPr>
        <w:spacing w:line="560" w:lineRule="exact"/>
        <w:ind w:firstLine="560" w:firstLineChars="200"/>
        <w:jc w:val="both"/>
        <w:rPr>
          <w:bCs w:val="0"/>
          <w:spacing w:val="0"/>
        </w:rPr>
      </w:pPr>
      <w:r>
        <w:rPr>
          <w:rFonts w:hint="eastAsia"/>
          <w:bCs w:val="0"/>
          <w:spacing w:val="0"/>
        </w:rPr>
        <w:t>建立数据集，指标值：=1个，实际完成值：=1个，指标完成率100%；得2分。</w:t>
      </w:r>
    </w:p>
    <w:p>
      <w:pPr>
        <w:spacing w:line="560" w:lineRule="exact"/>
        <w:ind w:firstLine="560" w:firstLineChars="200"/>
        <w:jc w:val="both"/>
        <w:rPr>
          <w:bCs w:val="0"/>
          <w:spacing w:val="0"/>
        </w:rPr>
      </w:pPr>
      <w:r>
        <w:rPr>
          <w:rFonts w:hint="eastAsia"/>
          <w:bCs w:val="0"/>
          <w:spacing w:val="0"/>
        </w:rPr>
        <w:t>完成数据采集的动态监测点个数，指标值：≥120个，实际完成值：=120个，指标完成率100%；得2分。</w:t>
      </w:r>
    </w:p>
    <w:p>
      <w:pPr>
        <w:spacing w:line="560" w:lineRule="exact"/>
        <w:ind w:firstLine="560" w:firstLineChars="200"/>
        <w:jc w:val="both"/>
        <w:rPr>
          <w:bCs w:val="0"/>
          <w:spacing w:val="0"/>
        </w:rPr>
      </w:pPr>
      <w:r>
        <w:rPr>
          <w:rFonts w:hint="eastAsia"/>
          <w:bCs w:val="0"/>
          <w:spacing w:val="0"/>
        </w:rPr>
        <w:t>保障经营性项目工作人员数量，指标值：≥4人，实际完成值：=4人，指标完成率100%；得1.5分。</w:t>
      </w:r>
    </w:p>
    <w:p>
      <w:pPr>
        <w:spacing w:line="560" w:lineRule="exact"/>
        <w:ind w:firstLine="560" w:firstLineChars="200"/>
        <w:jc w:val="both"/>
        <w:rPr>
          <w:bCs w:val="0"/>
          <w:spacing w:val="0"/>
        </w:rPr>
      </w:pPr>
      <w:r>
        <w:rPr>
          <w:rFonts w:hint="eastAsia"/>
          <w:bCs w:val="0"/>
          <w:spacing w:val="0"/>
        </w:rPr>
        <w:t>新增外业项目专用设备，指标值：≥3个，实际完成值：=3个，指标完成率100%；得1.5分。</w:t>
      </w:r>
    </w:p>
    <w:p>
      <w:pPr>
        <w:spacing w:line="560" w:lineRule="exact"/>
        <w:ind w:firstLine="544" w:firstLineChars="200"/>
        <w:jc w:val="both"/>
        <w:rPr>
          <w:bCs w:val="0"/>
          <w:spacing w:val="0"/>
        </w:rPr>
      </w:pPr>
      <w:r>
        <w:rPr>
          <w:rFonts w:hint="eastAsia"/>
        </w:rPr>
        <w:t>合计得10分。</w:t>
      </w:r>
    </w:p>
    <w:p>
      <w:pPr>
        <w:spacing w:line="560" w:lineRule="exact"/>
        <w:ind w:firstLine="546" w:firstLineChars="200"/>
        <w:jc w:val="both"/>
        <w:rPr>
          <w:rFonts w:ascii="Times New Roman" w:hAnsi="Times New Roman" w:cs="Times New Roman"/>
          <w:color w:val="000000" w:themeColor="text1"/>
          <w:sz w:val="32"/>
          <w:szCs w:val="32"/>
        </w:rPr>
      </w:pPr>
      <w:r>
        <w:rPr>
          <w:rFonts w:hint="eastAsia"/>
          <w:b/>
        </w:rPr>
        <w:t>（2）对于“产出质量”：</w:t>
      </w:r>
    </w:p>
    <w:p>
      <w:pPr>
        <w:spacing w:line="560" w:lineRule="exact"/>
        <w:ind w:firstLine="560" w:firstLineChars="200"/>
        <w:jc w:val="both"/>
        <w:rPr>
          <w:bCs w:val="0"/>
          <w:spacing w:val="0"/>
        </w:rPr>
      </w:pPr>
      <w:r>
        <w:rPr>
          <w:rFonts w:hint="eastAsia"/>
          <w:bCs w:val="0"/>
          <w:spacing w:val="0"/>
        </w:rPr>
        <w:t>外业项目专用设备采购合格率，指标值=100%，实际完成值：=100%，指标完成率100%；得10分。</w:t>
      </w:r>
    </w:p>
    <w:p>
      <w:pPr>
        <w:spacing w:line="560" w:lineRule="exact"/>
        <w:ind w:firstLine="544" w:firstLineChars="200"/>
        <w:jc w:val="both"/>
        <w:rPr>
          <w:bCs w:val="0"/>
          <w:spacing w:val="0"/>
        </w:rPr>
      </w:pPr>
      <w:r>
        <w:rPr>
          <w:rFonts w:hint="eastAsia"/>
        </w:rPr>
        <w:t>合计得10分。</w:t>
      </w:r>
    </w:p>
    <w:p>
      <w:pPr>
        <w:spacing w:line="560" w:lineRule="exact"/>
        <w:ind w:firstLine="546" w:firstLineChars="200"/>
        <w:jc w:val="both"/>
        <w:rPr>
          <w:rFonts w:ascii="Times New Roman" w:hAnsi="Times New Roman" w:cs="Times New Roman"/>
          <w:color w:val="000000" w:themeColor="text1"/>
          <w:sz w:val="32"/>
          <w:szCs w:val="32"/>
        </w:rPr>
      </w:pPr>
      <w:r>
        <w:rPr>
          <w:rFonts w:hint="eastAsia"/>
          <w:b/>
        </w:rPr>
        <w:t>（3）对于“产出时效”：</w:t>
      </w:r>
    </w:p>
    <w:p>
      <w:pPr>
        <w:spacing w:line="560" w:lineRule="exact"/>
        <w:ind w:firstLine="560" w:firstLineChars="200"/>
        <w:jc w:val="both"/>
        <w:rPr>
          <w:bCs w:val="0"/>
          <w:spacing w:val="0"/>
        </w:rPr>
      </w:pPr>
      <w:r>
        <w:rPr>
          <w:rFonts w:hint="eastAsia"/>
          <w:bCs w:val="0"/>
          <w:spacing w:val="0"/>
        </w:rPr>
        <w:t>年度工作成果报告按时完成率，指标值：≥90%，实际完成值：≥90%，指标完成率100%；得10分。</w:t>
      </w:r>
    </w:p>
    <w:p>
      <w:pPr>
        <w:spacing w:line="560" w:lineRule="exact"/>
        <w:ind w:firstLine="544" w:firstLineChars="200"/>
        <w:jc w:val="both"/>
        <w:rPr>
          <w:bCs w:val="0"/>
          <w:spacing w:val="0"/>
        </w:rPr>
      </w:pPr>
      <w:r>
        <w:rPr>
          <w:rFonts w:hint="eastAsia"/>
        </w:rPr>
        <w:t>合计得10分。</w:t>
      </w:r>
    </w:p>
    <w:p>
      <w:pPr>
        <w:numPr>
          <w:ilvl w:val="0"/>
          <w:numId w:val="1"/>
        </w:numPr>
        <w:spacing w:line="560" w:lineRule="exact"/>
        <w:ind w:firstLine="546" w:firstLineChars="200"/>
        <w:jc w:val="both"/>
        <w:rPr>
          <w:b/>
        </w:rPr>
      </w:pPr>
      <w:r>
        <w:rPr>
          <w:rFonts w:hint="eastAsia"/>
          <w:b/>
        </w:rPr>
        <w:t>对于“产出成本”：</w:t>
      </w:r>
    </w:p>
    <w:p>
      <w:pPr>
        <w:spacing w:line="560" w:lineRule="exact"/>
        <w:ind w:firstLine="560" w:firstLineChars="200"/>
        <w:jc w:val="both"/>
        <w:rPr>
          <w:bCs w:val="0"/>
          <w:spacing w:val="0"/>
        </w:rPr>
      </w:pPr>
      <w:r>
        <w:rPr>
          <w:rFonts w:hint="eastAsia"/>
          <w:bCs w:val="0"/>
          <w:spacing w:val="0"/>
        </w:rPr>
        <w:t>专用设备采购费用，指标值：≤53万元，实际完成值：=54.92万元，指标完成率103.62%，偏差原因：根据工作实际，提高了部分专用设备的参数需求；2.89分。</w:t>
      </w:r>
    </w:p>
    <w:p>
      <w:pPr>
        <w:spacing w:line="560" w:lineRule="exact"/>
        <w:ind w:firstLine="560" w:firstLineChars="200"/>
        <w:jc w:val="both"/>
        <w:rPr>
          <w:bCs w:val="0"/>
          <w:spacing w:val="0"/>
        </w:rPr>
      </w:pPr>
      <w:r>
        <w:rPr>
          <w:rFonts w:hint="eastAsia"/>
          <w:bCs w:val="0"/>
          <w:spacing w:val="0"/>
        </w:rPr>
        <w:t>规划一张图项目委托业务费，指标值：≤93万元，实际完成值：=96万元，指标完成率103.23%；得3.87分。</w:t>
      </w:r>
    </w:p>
    <w:p>
      <w:pPr>
        <w:spacing w:line="560" w:lineRule="exact"/>
        <w:ind w:firstLine="560" w:firstLineChars="200"/>
        <w:jc w:val="both"/>
        <w:rPr>
          <w:bCs w:val="0"/>
          <w:spacing w:val="0"/>
        </w:rPr>
      </w:pPr>
      <w:r>
        <w:rPr>
          <w:rFonts w:hint="eastAsia"/>
          <w:bCs w:val="0"/>
          <w:spacing w:val="0"/>
        </w:rPr>
        <w:t>专家及项目工作人员劳务费，指标值：≤8万元，实际完成值：=0.25万元，指标完成率3.13%；得0.09分。</w:t>
      </w:r>
    </w:p>
    <w:p>
      <w:pPr>
        <w:spacing w:line="560" w:lineRule="exact"/>
        <w:ind w:firstLine="544" w:firstLineChars="200"/>
        <w:jc w:val="both"/>
        <w:rPr>
          <w:bCs w:val="0"/>
          <w:spacing w:val="0"/>
        </w:rPr>
      </w:pPr>
      <w:r>
        <w:rPr>
          <w:rFonts w:hint="eastAsia"/>
        </w:rPr>
        <w:t>合计得6.85。</w:t>
      </w:r>
    </w:p>
    <w:p>
      <w:pPr>
        <w:pStyle w:val="3"/>
        <w:numPr>
          <w:ilvl w:val="0"/>
          <w:numId w:val="2"/>
        </w:numPr>
        <w:ind w:firstLine="562" w:firstLineChars="200"/>
        <w:rPr>
          <w:rFonts w:ascii="仿宋" w:hAnsi="仿宋" w:eastAsia="仿宋"/>
          <w:b/>
          <w:iCs w:val="0"/>
          <w:spacing w:val="0"/>
          <w:sz w:val="28"/>
          <w:szCs w:val="28"/>
        </w:rPr>
      </w:pPr>
      <w:bookmarkStart w:id="16" w:name="_Toc163410631"/>
      <w:bookmarkStart w:id="17" w:name="_Toc160725166"/>
      <w:r>
        <w:rPr>
          <w:rFonts w:hint="eastAsia" w:ascii="仿宋" w:hAnsi="仿宋" w:eastAsia="仿宋"/>
          <w:b/>
          <w:iCs w:val="0"/>
          <w:spacing w:val="0"/>
          <w:sz w:val="28"/>
          <w:szCs w:val="28"/>
        </w:rPr>
        <w:t>项目效益情况</w:t>
      </w:r>
      <w:bookmarkEnd w:id="16"/>
      <w:bookmarkEnd w:id="17"/>
    </w:p>
    <w:p>
      <w:pPr>
        <w:spacing w:line="560" w:lineRule="exact"/>
        <w:ind w:firstLine="544" w:firstLineChars="200"/>
        <w:jc w:val="left"/>
      </w:pPr>
      <w:r>
        <w:rPr>
          <w:rFonts w:hint="eastAsia"/>
        </w:rPr>
        <w:t>项目效益类指标包括项目效益2个方面的内容，由2个三级指标构成，权重分为20分，实际得分20分，得分率为100%。</w:t>
      </w:r>
    </w:p>
    <w:p>
      <w:pPr>
        <w:numPr>
          <w:ilvl w:val="0"/>
          <w:numId w:val="3"/>
        </w:numPr>
        <w:overflowPunct w:val="0"/>
        <w:spacing w:line="560" w:lineRule="exact"/>
        <w:contextualSpacing/>
        <w:jc w:val="left"/>
        <w:rPr>
          <w:b/>
        </w:rPr>
      </w:pPr>
      <w:r>
        <w:rPr>
          <w:rFonts w:hint="eastAsia"/>
          <w:b/>
        </w:rPr>
        <w:t>实施效益指标：</w:t>
      </w:r>
    </w:p>
    <w:p>
      <w:pPr>
        <w:spacing w:line="540" w:lineRule="exact"/>
        <w:ind w:firstLine="544" w:firstLineChars="200"/>
        <w:jc w:val="left"/>
        <w:rPr>
          <w:rStyle w:val="22"/>
          <w:b w:val="0"/>
          <w:bCs/>
        </w:rPr>
      </w:pPr>
      <w:r>
        <w:t>①</w:t>
      </w:r>
      <w:r>
        <w:rPr>
          <w:rFonts w:hint="eastAsia"/>
        </w:rPr>
        <w:t>对于“经济效益指标”：</w:t>
      </w:r>
    </w:p>
    <w:p>
      <w:pPr>
        <w:spacing w:line="560" w:lineRule="exact"/>
        <w:ind w:firstLine="560"/>
        <w:jc w:val="left"/>
      </w:pPr>
      <w:r>
        <w:rPr>
          <w:rFonts w:hint="eastAsia"/>
        </w:rPr>
        <w:t>本项目无该指标。</w:t>
      </w:r>
    </w:p>
    <w:p>
      <w:pPr>
        <w:spacing w:line="540" w:lineRule="exact"/>
        <w:ind w:firstLine="544" w:firstLineChars="200"/>
        <w:jc w:val="left"/>
      </w:pPr>
      <w:r>
        <w:rPr>
          <w:rFonts w:hint="eastAsia"/>
        </w:rPr>
        <w:t>②对于“社会效益指标”：</w:t>
      </w:r>
    </w:p>
    <w:p>
      <w:pPr>
        <w:spacing w:line="560" w:lineRule="exact"/>
        <w:ind w:firstLine="544" w:firstLineChars="200"/>
        <w:jc w:val="left"/>
      </w:pPr>
      <w:r>
        <w:rPr>
          <w:rFonts w:hint="eastAsia"/>
        </w:rPr>
        <w:t>保障经营性项目顺利实施，与预期指标一致，根据评分标准，该指标不扣分，得10分。</w:t>
      </w:r>
    </w:p>
    <w:p>
      <w:pPr>
        <w:spacing w:line="560" w:lineRule="exact"/>
        <w:ind w:firstLine="544" w:firstLineChars="200"/>
        <w:jc w:val="left"/>
        <w:rPr>
          <w:b/>
        </w:rPr>
      </w:pPr>
      <w:r>
        <w:t>③</w:t>
      </w:r>
      <w:r>
        <w:rPr>
          <w:rFonts w:hint="eastAsia"/>
        </w:rPr>
        <w:t>对于“生态效益指标”：</w:t>
      </w:r>
    </w:p>
    <w:p>
      <w:pPr>
        <w:spacing w:line="560" w:lineRule="exact"/>
        <w:ind w:firstLine="560"/>
        <w:jc w:val="left"/>
      </w:pPr>
      <w:r>
        <w:rPr>
          <w:rFonts w:hint="eastAsia"/>
        </w:rPr>
        <w:t>本项目无该指标。</w:t>
      </w:r>
    </w:p>
    <w:p>
      <w:pPr>
        <w:spacing w:line="540" w:lineRule="exact"/>
        <w:ind w:firstLine="567"/>
        <w:jc w:val="left"/>
        <w:rPr>
          <w:b/>
        </w:rPr>
      </w:pPr>
      <w:r>
        <w:rPr>
          <w:rFonts w:hint="eastAsia"/>
        </w:rPr>
        <w:t>实施效益指标合计得10分。</w:t>
      </w:r>
    </w:p>
    <w:p>
      <w:pPr>
        <w:spacing w:line="560" w:lineRule="exact"/>
        <w:ind w:firstLine="546" w:firstLineChars="200"/>
        <w:jc w:val="left"/>
        <w:rPr>
          <w:b/>
        </w:rPr>
      </w:pPr>
      <w:r>
        <w:rPr>
          <w:rFonts w:hint="eastAsia"/>
          <w:b/>
        </w:rPr>
        <w:t>（2）满意度指标：</w:t>
      </w:r>
    </w:p>
    <w:p>
      <w:pPr>
        <w:spacing w:line="560" w:lineRule="exact"/>
        <w:ind w:firstLine="544" w:firstLineChars="200"/>
        <w:jc w:val="left"/>
      </w:pPr>
      <w:r>
        <w:rPr>
          <w:rFonts w:hint="eastAsia"/>
        </w:rPr>
        <w:t>对于满意度指标：设备使用人员满意度95%，与预期指标一致，根据评分标准，该指标不扣分，得10分。</w:t>
      </w:r>
      <w:bookmarkStart w:id="18" w:name="_Toc163410632"/>
    </w:p>
    <w:p>
      <w:pPr>
        <w:spacing w:line="560" w:lineRule="exact"/>
        <w:ind w:firstLine="640" w:firstLineChars="200"/>
        <w:jc w:val="left"/>
        <w:rPr>
          <w:rFonts w:ascii="方正黑体_GBK" w:hAnsi="方正黑体_GBK" w:eastAsia="方正黑体_GBK" w:cs="方正黑体_GBK"/>
          <w:b/>
          <w:spacing w:val="0"/>
          <w:sz w:val="32"/>
          <w:szCs w:val="32"/>
        </w:rPr>
      </w:pPr>
      <w:r>
        <w:rPr>
          <w:rFonts w:hint="eastAsia" w:ascii="方正黑体_GBK" w:hAnsi="方正黑体_GBK" w:eastAsia="方正黑体_GBK" w:cs="方正黑体_GBK"/>
          <w:b/>
          <w:spacing w:val="0"/>
          <w:sz w:val="32"/>
          <w:szCs w:val="32"/>
        </w:rPr>
        <w:t>五、预算执行进度与绩效指标偏差</w:t>
      </w:r>
      <w:bookmarkEnd w:id="18"/>
    </w:p>
    <w:p>
      <w:pPr>
        <w:pStyle w:val="52"/>
        <w:spacing w:line="560" w:lineRule="exact"/>
        <w:ind w:firstLine="544" w:firstLineChars="200"/>
        <w:jc w:val="both"/>
        <w:rPr>
          <w:rFonts w:cs="仿宋"/>
          <w:kern w:val="2"/>
        </w:rPr>
      </w:pPr>
      <w:r>
        <w:rPr>
          <w:rFonts w:hint="eastAsia" w:cs="仿宋"/>
          <w:kern w:val="2"/>
        </w:rPr>
        <w:t>2023年经营收入成本性支出项目预算263万元，到位263万元，实际支出224.98万元，预算执行率为85.54%，项目绩效指标总体完成率为96.13%，偏差率为3.87%，偏差原因：预算编制的不够精准，采取的措施:需加大对预算编制人员和绩效考核人员的培训力度，在今后预算编制和绩效考核方面能做到精准，减少偏差和误差。</w:t>
      </w:r>
    </w:p>
    <w:p>
      <w:pPr>
        <w:pStyle w:val="2"/>
        <w:spacing w:before="62"/>
        <w:ind w:firstLine="640" w:firstLineChars="200"/>
        <w:rPr>
          <w:rFonts w:ascii="方正黑体_GBK" w:hAnsi="方正黑体_GBK" w:eastAsia="方正黑体_GBK" w:cs="方正黑体_GBK"/>
          <w:b/>
          <w:spacing w:val="0"/>
          <w:kern w:val="2"/>
        </w:rPr>
      </w:pPr>
      <w:bookmarkStart w:id="19" w:name="_Toc163410633"/>
      <w:r>
        <w:rPr>
          <w:rFonts w:hint="eastAsia" w:ascii="方正黑体_GBK" w:hAnsi="方正黑体_GBK" w:eastAsia="方正黑体_GBK" w:cs="方正黑体_GBK"/>
          <w:b/>
          <w:spacing w:val="0"/>
          <w:kern w:val="2"/>
        </w:rPr>
        <w:t>六、主要经验及做法、存在的问题及原因分析</w:t>
      </w:r>
      <w:bookmarkEnd w:id="19"/>
    </w:p>
    <w:p>
      <w:pPr>
        <w:pStyle w:val="3"/>
        <w:ind w:firstLine="562" w:firstLineChars="200"/>
      </w:pPr>
      <w:bookmarkStart w:id="20" w:name="_Toc163410634"/>
      <w:r>
        <w:rPr>
          <w:rFonts w:hint="eastAsia" w:ascii="仿宋" w:hAnsi="仿宋" w:eastAsia="仿宋"/>
          <w:b/>
          <w:iCs w:val="0"/>
          <w:spacing w:val="0"/>
          <w:sz w:val="28"/>
          <w:szCs w:val="28"/>
        </w:rPr>
        <w:t>（一）主要经验及做法</w:t>
      </w:r>
      <w:bookmarkEnd w:id="20"/>
    </w:p>
    <w:p>
      <w:pPr>
        <w:spacing w:line="560" w:lineRule="exact"/>
        <w:ind w:firstLine="544" w:firstLineChars="200"/>
        <w:jc w:val="both"/>
      </w:pPr>
      <w:r>
        <w:rPr>
          <w:rFonts w:hint="eastAsia"/>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spacing w:line="560" w:lineRule="exact"/>
        <w:ind w:firstLine="544" w:firstLineChars="200"/>
        <w:jc w:val="both"/>
      </w:pPr>
      <w:r>
        <w:rPr>
          <w:rFonts w:hint="eastAsia"/>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Style w:val="3"/>
        <w:ind w:firstLine="562" w:firstLineChars="200"/>
        <w:rPr>
          <w:rFonts w:ascii="仿宋" w:hAnsi="仿宋" w:eastAsia="仿宋"/>
          <w:b/>
          <w:iCs w:val="0"/>
          <w:spacing w:val="0"/>
          <w:sz w:val="28"/>
          <w:szCs w:val="28"/>
        </w:rPr>
      </w:pPr>
      <w:bookmarkStart w:id="21" w:name="_Toc163410635"/>
      <w:r>
        <w:rPr>
          <w:rFonts w:hint="eastAsia" w:ascii="仿宋" w:hAnsi="仿宋" w:eastAsia="仿宋"/>
          <w:b/>
          <w:iCs w:val="0"/>
          <w:spacing w:val="0"/>
          <w:sz w:val="28"/>
          <w:szCs w:val="28"/>
        </w:rPr>
        <w:t>（二）存在问题及原因分析</w:t>
      </w:r>
      <w:bookmarkEnd w:id="21"/>
    </w:p>
    <w:p>
      <w:pPr>
        <w:spacing w:line="560" w:lineRule="exact"/>
        <w:ind w:firstLine="560" w:firstLineChars="200"/>
        <w:jc w:val="both"/>
        <w:rPr>
          <w:bCs w:val="0"/>
          <w:spacing w:val="0"/>
          <w:kern w:val="0"/>
        </w:rPr>
      </w:pPr>
      <w:r>
        <w:rPr>
          <w:rFonts w:hint="eastAsia"/>
          <w:bCs w:val="0"/>
          <w:spacing w:val="0"/>
          <w:kern w:val="0"/>
        </w:rPr>
        <w:t>1．项目绩效监控管理的观念不够深入人心，认为只要财政资金使用合法合规，按计划完成任务就行，对项目预算绩效管理不够重视。</w:t>
      </w:r>
    </w:p>
    <w:p>
      <w:pPr>
        <w:spacing w:line="560" w:lineRule="exact"/>
        <w:ind w:firstLine="560" w:firstLineChars="200"/>
        <w:jc w:val="both"/>
        <w:rPr>
          <w:bCs w:val="0"/>
          <w:spacing w:val="0"/>
          <w:kern w:val="0"/>
        </w:rPr>
      </w:pPr>
      <w:r>
        <w:rPr>
          <w:rFonts w:hint="eastAsia"/>
          <w:bCs w:val="0"/>
          <w:spacing w:val="0"/>
          <w:kern w:val="0"/>
        </w:rPr>
        <w:t>2．形式重于实质。认为绩效目标只是单纯的编制报表，而其他相关科室往往也对其重要性理解不足，对管理中出现的问题没有加以重视和反思，致使预算绩效评价往往成为一个项目总结验收，失去了其原有的作用和意义。</w:t>
      </w:r>
    </w:p>
    <w:p>
      <w:pPr>
        <w:spacing w:line="560" w:lineRule="exact"/>
        <w:ind w:firstLine="560" w:firstLineChars="200"/>
        <w:jc w:val="both"/>
        <w:rPr>
          <w:bCs w:val="0"/>
          <w:spacing w:val="0"/>
          <w:kern w:val="0"/>
        </w:rPr>
      </w:pPr>
      <w:r>
        <w:rPr>
          <w:rFonts w:hint="eastAsia"/>
          <w:bCs w:val="0"/>
          <w:spacing w:val="0"/>
          <w:kern w:val="0"/>
        </w:rPr>
        <w:t>3．缺少专业的预算绩效监控管理人员及信息技术支持，造成技术上的缺陷。预算绩效监控工作涉及项目业务、财务、效益等方面知识，能全面掌握这些知识的人员较少，特别是对效益方面进行较好评价分析的人才更加缺乏。</w:t>
      </w:r>
    </w:p>
    <w:p>
      <w:pPr>
        <w:pStyle w:val="2"/>
        <w:spacing w:before="62"/>
        <w:ind w:firstLine="640" w:firstLineChars="200"/>
        <w:rPr>
          <w:rFonts w:ascii="方正黑体_GBK" w:hAnsi="方正黑体_GBK" w:eastAsia="方正黑体_GBK" w:cs="方正黑体_GBK"/>
          <w:b/>
          <w:spacing w:val="0"/>
          <w:kern w:val="2"/>
        </w:rPr>
      </w:pPr>
      <w:bookmarkStart w:id="22" w:name="_Toc163410636"/>
      <w:r>
        <w:rPr>
          <w:rFonts w:hint="eastAsia" w:ascii="方正黑体_GBK" w:hAnsi="方正黑体_GBK" w:eastAsia="方正黑体_GBK" w:cs="方正黑体_GBK"/>
          <w:b/>
          <w:spacing w:val="0"/>
          <w:kern w:val="2"/>
        </w:rPr>
        <w:t>七、有关建议</w:t>
      </w:r>
      <w:bookmarkEnd w:id="22"/>
    </w:p>
    <w:p>
      <w:pPr>
        <w:spacing w:line="560" w:lineRule="exact"/>
        <w:ind w:firstLine="560" w:firstLineChars="200"/>
        <w:jc w:val="both"/>
        <w:rPr>
          <w:bCs w:val="0"/>
          <w:spacing w:val="0"/>
          <w:kern w:val="0"/>
        </w:rPr>
      </w:pPr>
      <w:r>
        <w:rPr>
          <w:rFonts w:hint="eastAsia"/>
          <w:bCs w:val="0"/>
          <w:spacing w:val="0"/>
          <w:kern w:val="0"/>
        </w:rPr>
        <w:t>进一步加强对绩效管理工作的组织领导，提高对预算绩效管理工作重要性的认识，总结经验查找问题，抓紧研究制定更全面更完善的绩效评价管理办法。建立绩效工作考核制度，加大对全面实施预算绩效管理和绩效管理工作的学习力度，让“花钱必问效，无效必问责”的理念深入工作每个环节。</w:t>
      </w:r>
    </w:p>
    <w:p>
      <w:pPr>
        <w:spacing w:line="560" w:lineRule="exact"/>
        <w:ind w:firstLine="560" w:firstLineChars="200"/>
        <w:jc w:val="both"/>
        <w:rPr>
          <w:bCs w:val="0"/>
          <w:spacing w:val="0"/>
          <w:kern w:val="0"/>
        </w:rPr>
      </w:pPr>
      <w:r>
        <w:rPr>
          <w:rFonts w:hint="eastAsia"/>
          <w:bCs w:val="0"/>
          <w:spacing w:val="0"/>
          <w:kern w:val="0"/>
        </w:rPr>
        <w:t>将绩效监控管理理念贯穿到预算管理的全过程，推进预算良性循环。在预算编制过程中，财务、业务等相关科室共同参与，以工作计划为基础，以计划目标为依据，以设定绩效目标为驱动，规范预算申请，而不是无规划的索要经费，随意变更。预算执行阶段，建立绩效监督管理的动态监控机制，进行事中控制，防患于未然。对绩效目标运行情况进行跟踪管理和督促检查，强化对项目绩效目标落实情况、项目实施进度和资金使用情况的动态监督。</w:t>
      </w:r>
    </w:p>
    <w:p>
      <w:pPr>
        <w:spacing w:line="560" w:lineRule="exact"/>
        <w:ind w:firstLine="560" w:firstLineChars="200"/>
        <w:jc w:val="both"/>
        <w:rPr>
          <w:bCs w:val="0"/>
          <w:spacing w:val="0"/>
          <w:kern w:val="0"/>
        </w:rPr>
      </w:pPr>
      <w:r>
        <w:rPr>
          <w:rFonts w:hint="eastAsia"/>
          <w:bCs w:val="0"/>
          <w:spacing w:val="0"/>
          <w:kern w:val="0"/>
        </w:rPr>
        <w:t>进一步重视预算执行情况，加强预算执行与项目管理的沟通机制，认真开展自查自纠，及时、主动纠正存在的问题，建立整改长效机制。</w:t>
      </w:r>
    </w:p>
    <w:p>
      <w:pPr>
        <w:spacing w:line="560" w:lineRule="exact"/>
        <w:ind w:firstLine="560" w:firstLineChars="200"/>
        <w:jc w:val="both"/>
        <w:rPr>
          <w:bCs w:val="0"/>
          <w:spacing w:val="0"/>
          <w:kern w:val="0"/>
        </w:rPr>
      </w:pPr>
      <w:r>
        <w:rPr>
          <w:rFonts w:hint="eastAsia"/>
          <w:bCs w:val="0"/>
          <w:spacing w:val="0"/>
          <w:kern w:val="0"/>
        </w:rPr>
        <w:t>提高认识，强化教育，全面实施绩效管理，不断提高预算绩效管理水平。着力强化内部绩效监控，深入分析研究，精心组织协调，确保年度项目预算工作全面完成。进一步健全和完善财务管理制度及内部控制制度，创新管理手段，用新思路、新方法，改进完善财务管理方法，用制度管项目，用制度管资金。</w:t>
      </w:r>
    </w:p>
    <w:p>
      <w:pPr>
        <w:pStyle w:val="2"/>
        <w:spacing w:before="62"/>
        <w:ind w:firstLine="640" w:firstLineChars="200"/>
        <w:rPr>
          <w:rFonts w:ascii="方正黑体_GBK" w:hAnsi="方正黑体_GBK" w:eastAsia="方正黑体_GBK" w:cs="方正黑体_GBK"/>
          <w:b/>
          <w:spacing w:val="0"/>
          <w:kern w:val="2"/>
        </w:rPr>
      </w:pPr>
      <w:bookmarkStart w:id="23" w:name="_Toc163410637"/>
      <w:r>
        <w:rPr>
          <w:rFonts w:hint="eastAsia" w:ascii="方正黑体_GBK" w:hAnsi="方正黑体_GBK" w:eastAsia="方正黑体_GBK" w:cs="方正黑体_GBK"/>
          <w:b/>
          <w:spacing w:val="0"/>
          <w:kern w:val="2"/>
        </w:rPr>
        <w:t>八、其他需要说明的问题</w:t>
      </w:r>
      <w:bookmarkEnd w:id="23"/>
    </w:p>
    <w:p>
      <w:pPr>
        <w:pStyle w:val="52"/>
        <w:spacing w:line="560" w:lineRule="exact"/>
        <w:ind w:firstLine="560"/>
        <w:jc w:val="both"/>
        <w:rPr>
          <w:rFonts w:ascii="Times New Roman" w:hAnsi="Times New Roman"/>
          <w:color w:val="000000" w:themeColor="text1"/>
          <w:sz w:val="32"/>
          <w:szCs w:val="32"/>
        </w:rPr>
      </w:pPr>
      <w:r>
        <w:rPr>
          <w:rFonts w:hint="eastAsia" w:cs="仿宋"/>
          <w:bCs w:val="0"/>
          <w:spacing w:val="0"/>
        </w:rPr>
        <w:t>我单位对上述项目支出绩效评价报告内反映内容的真实性、完整性负责，接受上级部门及社会监督。</w:t>
      </w:r>
    </w:p>
    <w:p>
      <w:pPr>
        <w:pStyle w:val="52"/>
        <w:spacing w:line="560" w:lineRule="exact"/>
        <w:ind w:firstLine="0"/>
        <w:jc w:val="both"/>
        <w:rPr>
          <w:rFonts w:ascii="Times New Roman" w:hAnsi="Times New Roman"/>
          <w:color w:val="000000" w:themeColor="text1"/>
          <w:sz w:val="32"/>
          <w:szCs w:val="32"/>
        </w:rPr>
      </w:pPr>
    </w:p>
    <w:p>
      <w:pPr>
        <w:pStyle w:val="52"/>
        <w:spacing w:line="560" w:lineRule="exact"/>
        <w:ind w:firstLine="560"/>
        <w:jc w:val="both"/>
        <w:rPr>
          <w:rFonts w:cs="仿宋"/>
          <w:bCs w:val="0"/>
          <w:spacing w:val="0"/>
        </w:rPr>
      </w:pPr>
      <w:r>
        <w:rPr>
          <w:rFonts w:hint="eastAsia" w:cs="仿宋"/>
          <w:bCs w:val="0"/>
          <w:spacing w:val="0"/>
        </w:rPr>
        <w:t>附件1：2023年经营收入成本性支出项目绩效评价指标体系及评分标准</w:t>
      </w:r>
    </w:p>
    <w:p>
      <w:pPr>
        <w:pStyle w:val="52"/>
        <w:spacing w:line="560" w:lineRule="exact"/>
        <w:ind w:firstLine="560"/>
        <w:jc w:val="both"/>
        <w:rPr>
          <w:rFonts w:cs="仿宋"/>
          <w:bCs w:val="0"/>
          <w:spacing w:val="0"/>
        </w:rPr>
        <w:sectPr>
          <w:pgSz w:w="11906" w:h="16838"/>
          <w:pgMar w:top="1440" w:right="1558" w:bottom="1440" w:left="1800" w:header="851" w:footer="992" w:gutter="0"/>
          <w:pgNumType w:start="1"/>
          <w:cols w:space="425" w:num="1"/>
          <w:docGrid w:type="lines" w:linePitch="312" w:charSpace="0"/>
        </w:sectPr>
      </w:pPr>
    </w:p>
    <w:tbl>
      <w:tblPr>
        <w:tblStyle w:val="20"/>
        <w:tblW w:w="5000" w:type="pct"/>
        <w:tblInd w:w="0" w:type="dxa"/>
        <w:tblLayout w:type="fixed"/>
        <w:tblCellMar>
          <w:top w:w="0" w:type="dxa"/>
          <w:left w:w="108" w:type="dxa"/>
          <w:bottom w:w="0" w:type="dxa"/>
          <w:right w:w="108" w:type="dxa"/>
        </w:tblCellMar>
      </w:tblPr>
      <w:tblGrid>
        <w:gridCol w:w="816"/>
        <w:gridCol w:w="992"/>
        <w:gridCol w:w="1253"/>
        <w:gridCol w:w="10370"/>
        <w:gridCol w:w="743"/>
      </w:tblGrid>
      <w:tr>
        <w:tblPrEx>
          <w:tblCellMar>
            <w:top w:w="0" w:type="dxa"/>
            <w:left w:w="108" w:type="dxa"/>
            <w:bottom w:w="0" w:type="dxa"/>
            <w:right w:w="108" w:type="dxa"/>
          </w:tblCellMar>
        </w:tblPrEx>
        <w:trPr>
          <w:trHeight w:val="620" w:hRule="atLeast"/>
        </w:trPr>
        <w:tc>
          <w:tcPr>
            <w:tcW w:w="5000" w:type="pct"/>
            <w:gridSpan w:val="5"/>
            <w:tcBorders>
              <w:top w:val="nil"/>
              <w:left w:val="nil"/>
              <w:bottom w:val="nil"/>
              <w:right w:val="nil"/>
            </w:tcBorders>
            <w:shd w:val="clear" w:color="auto" w:fill="auto"/>
            <w:noWrap/>
            <w:vAlign w:val="center"/>
          </w:tcPr>
          <w:p>
            <w:pPr>
              <w:ind w:firstLine="466"/>
              <w:jc w:val="left"/>
              <w:rPr>
                <w:b/>
                <w:color w:val="000000"/>
                <w:spacing w:val="0"/>
                <w:kern w:val="0"/>
                <w:sz w:val="22"/>
                <w:szCs w:val="22"/>
              </w:rPr>
            </w:pPr>
            <w:r>
              <w:rPr>
                <w:rFonts w:hint="eastAsia"/>
                <w:b/>
                <w:color w:val="000000"/>
                <w:spacing w:val="0"/>
                <w:kern w:val="0"/>
                <w:sz w:val="22"/>
                <w:szCs w:val="22"/>
              </w:rPr>
              <w:t>附件1：</w:t>
            </w:r>
            <w:r>
              <w:rPr>
                <w:rFonts w:hint="eastAsia" w:ascii="宋体" w:hAnsi="宋体" w:eastAsia="宋体" w:cs="宋体"/>
                <w:b/>
                <w:color w:val="000000"/>
                <w:kern w:val="0"/>
                <w:sz w:val="21"/>
                <w:szCs w:val="21"/>
              </w:rPr>
              <w:t>综合评分表</w:t>
            </w:r>
          </w:p>
          <w:p>
            <w:pPr>
              <w:ind w:firstLine="466"/>
              <w:rPr>
                <w:b/>
                <w:color w:val="000000" w:themeColor="text1"/>
                <w:sz w:val="24"/>
                <w:szCs w:val="24"/>
              </w:rPr>
            </w:pPr>
            <w:r>
              <w:rPr>
                <w:rFonts w:hint="eastAsia"/>
                <w:b/>
                <w:color w:val="000000"/>
                <w:spacing w:val="0"/>
                <w:kern w:val="0"/>
                <w:sz w:val="22"/>
                <w:szCs w:val="22"/>
              </w:rPr>
              <w:t>2023年经营收入成本性支出项目项目绩效评价指标体系及评分标准</w:t>
            </w:r>
          </w:p>
        </w:tc>
      </w:tr>
      <w:tr>
        <w:tblPrEx>
          <w:tblCellMar>
            <w:top w:w="0" w:type="dxa"/>
            <w:left w:w="108" w:type="dxa"/>
            <w:bottom w:w="0" w:type="dxa"/>
            <w:right w:w="108" w:type="dxa"/>
          </w:tblCellMar>
        </w:tblPrEx>
        <w:trPr>
          <w:trHeight w:val="312" w:hRule="atLeast"/>
        </w:trPr>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rPr>
                <w:color w:val="000000" w:themeColor="text1"/>
                <w:sz w:val="21"/>
                <w:szCs w:val="21"/>
              </w:rPr>
            </w:pPr>
            <w:r>
              <w:rPr>
                <w:rFonts w:hint="eastAsia"/>
                <w:color w:val="000000" w:themeColor="text1"/>
                <w:sz w:val="21"/>
                <w:szCs w:val="21"/>
              </w:rPr>
              <w:t>一级指标</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rPr>
                <w:color w:val="000000" w:themeColor="text1"/>
                <w:sz w:val="21"/>
                <w:szCs w:val="21"/>
              </w:rPr>
            </w:pPr>
            <w:r>
              <w:rPr>
                <w:rFonts w:hint="eastAsia"/>
                <w:color w:val="000000" w:themeColor="text1"/>
                <w:sz w:val="21"/>
                <w:szCs w:val="21"/>
              </w:rPr>
              <w:t>二级指标</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rPr>
                <w:color w:val="000000" w:themeColor="text1"/>
                <w:sz w:val="21"/>
                <w:szCs w:val="21"/>
              </w:rPr>
            </w:pPr>
            <w:r>
              <w:rPr>
                <w:rFonts w:hint="eastAsia"/>
                <w:color w:val="000000" w:themeColor="text1"/>
                <w:sz w:val="21"/>
                <w:szCs w:val="21"/>
              </w:rPr>
              <w:t>三级指标</w:t>
            </w:r>
          </w:p>
        </w:tc>
        <w:tc>
          <w:tcPr>
            <w:tcW w:w="365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rPr>
                <w:color w:val="000000" w:themeColor="text1"/>
                <w:sz w:val="21"/>
                <w:szCs w:val="21"/>
              </w:rPr>
            </w:pPr>
            <w:r>
              <w:rPr>
                <w:rFonts w:hint="eastAsia"/>
                <w:color w:val="000000" w:themeColor="text1"/>
                <w:sz w:val="21"/>
                <w:szCs w:val="21"/>
              </w:rPr>
              <w:t>评价标准</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left"/>
              <w:rPr>
                <w:color w:val="000000" w:themeColor="text1"/>
                <w:sz w:val="21"/>
                <w:szCs w:val="21"/>
              </w:rPr>
            </w:pPr>
            <w:r>
              <w:rPr>
                <w:rFonts w:hint="eastAsia"/>
                <w:color w:val="000000" w:themeColor="text1"/>
                <w:sz w:val="21"/>
                <w:szCs w:val="21"/>
              </w:rPr>
              <w:t>得分</w:t>
            </w:r>
          </w:p>
        </w:tc>
      </w:tr>
      <w:tr>
        <w:trPr>
          <w:trHeight w:val="1248" w:hRule="atLeast"/>
        </w:trPr>
        <w:tc>
          <w:tcPr>
            <w:tcW w:w="2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决策（20分）</w:t>
            </w:r>
          </w:p>
        </w:tc>
        <w:tc>
          <w:tcPr>
            <w:tcW w:w="3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项目立项（5分）</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立项依据充分性（3分）</w:t>
            </w:r>
          </w:p>
        </w:tc>
        <w:tc>
          <w:tcPr>
            <w:tcW w:w="365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①项目立项是否符合国家法律法规、国民经济发展规划和相关政策得1分，否则不得分；②项目立项是否符合行业发展规划和政策要求得0.5分，否则不得分；③项目立项是否与部门职责范围相符，属于部门履职所需得0.5分，否则不得分；④项目是否属于公共财政支持范围，是否符合中央、地方事权支出责任划分原则得0.5分，否则不得分；⑤项目是否与相关部门同类项目或部门内部相关项目重复0.5分，否则不得分.</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3</w:t>
            </w:r>
          </w:p>
        </w:tc>
      </w:tr>
      <w:tr>
        <w:tblPrEx>
          <w:tblCellMar>
            <w:top w:w="0" w:type="dxa"/>
            <w:left w:w="108" w:type="dxa"/>
            <w:bottom w:w="0" w:type="dxa"/>
            <w:right w:w="108" w:type="dxa"/>
          </w:tblCellMar>
        </w:tblPrEx>
        <w:trPr>
          <w:trHeight w:val="624" w:hRule="atLeast"/>
        </w:trPr>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立项程序（2分）</w:t>
            </w:r>
          </w:p>
        </w:tc>
        <w:tc>
          <w:tcPr>
            <w:tcW w:w="365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①项目是否按照规定的程序申请设立得1分，否则不得分；②审批文件、材料是否符合相关要求得0.5分，否则不得分；③事前是否已经过必要的可行性研究、专家论证、风险评估、绩效评估、集体决策得0.5分，否则不得分。</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2</w:t>
            </w:r>
          </w:p>
        </w:tc>
      </w:tr>
      <w:tr>
        <w:tblPrEx>
          <w:tblCellMar>
            <w:top w:w="0" w:type="dxa"/>
            <w:left w:w="108" w:type="dxa"/>
            <w:bottom w:w="0" w:type="dxa"/>
            <w:right w:w="108" w:type="dxa"/>
          </w:tblCellMar>
        </w:tblPrEx>
        <w:trPr>
          <w:trHeight w:val="936" w:hRule="atLeast"/>
        </w:trPr>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绩效目标（5分）</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绩效目标合理性（3分）</w:t>
            </w:r>
          </w:p>
        </w:tc>
        <w:tc>
          <w:tcPr>
            <w:tcW w:w="365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①项目是否有绩效目标得0.5分，否则不得分；②项目绩效目标与实际工作内容是否具有相关性得1分，否则不得分；③项目预期产出效益和效果是否符合正常的业绩水平得0.5分，否则不得分；④是否与预算确定的项目投资额或资金量相匹配得1分，否则不得分；。</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3</w:t>
            </w:r>
          </w:p>
        </w:tc>
      </w:tr>
      <w:tr>
        <w:tblPrEx>
          <w:tblCellMar>
            <w:top w:w="0" w:type="dxa"/>
            <w:left w:w="108" w:type="dxa"/>
            <w:bottom w:w="0" w:type="dxa"/>
            <w:right w:w="108" w:type="dxa"/>
          </w:tblCellMar>
        </w:tblPrEx>
        <w:trPr>
          <w:trHeight w:val="624" w:hRule="atLeast"/>
        </w:trPr>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绩效指标明确性（2分）</w:t>
            </w:r>
          </w:p>
        </w:tc>
        <w:tc>
          <w:tcPr>
            <w:tcW w:w="365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①是否将项目绩效目标细化分解为具体的绩效指标得0.5分，否则不得分；②是否通过清晰、可衡量的指标值予以体现得1分，否则不得分；③是否与项目目标任务数或计划数相对应得0.5分，否则不得分；</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2</w:t>
            </w:r>
          </w:p>
        </w:tc>
      </w:tr>
      <w:tr>
        <w:tblPrEx>
          <w:tblCellMar>
            <w:top w:w="0" w:type="dxa"/>
            <w:left w:w="108" w:type="dxa"/>
            <w:bottom w:w="0" w:type="dxa"/>
            <w:right w:w="108" w:type="dxa"/>
          </w:tblCellMar>
        </w:tblPrEx>
        <w:trPr>
          <w:trHeight w:val="936" w:hRule="atLeast"/>
        </w:trPr>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资金投入（10分）</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预算编制（5分）</w:t>
            </w:r>
          </w:p>
        </w:tc>
        <w:tc>
          <w:tcPr>
            <w:tcW w:w="365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①预算编制是否经过科学论证得1分，否则不得分；②预算内容与项目内容是否匹配得1分，否则不得分；③预算额度测算依据是否充分，是否按照标准编制得1分，否则不得分；④预算确定的项目投资额或资金量是否与工作任务相匹配得2分，否则不得分。</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5</w:t>
            </w:r>
          </w:p>
        </w:tc>
      </w:tr>
      <w:tr>
        <w:tblPrEx>
          <w:tblCellMar>
            <w:top w:w="0" w:type="dxa"/>
            <w:left w:w="108" w:type="dxa"/>
            <w:bottom w:w="0" w:type="dxa"/>
            <w:right w:w="108" w:type="dxa"/>
          </w:tblCellMar>
        </w:tblPrEx>
        <w:trPr>
          <w:trHeight w:val="624" w:hRule="atLeast"/>
        </w:trPr>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资金分配合理性（5分）</w:t>
            </w:r>
          </w:p>
        </w:tc>
        <w:tc>
          <w:tcPr>
            <w:tcW w:w="365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①预算资金分配依据是否充分得2.5分，否则不得分；②资金分配额度是否合理，与项目单位或地方实际是否相适应得2.5分，否则不得分。</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5</w:t>
            </w:r>
          </w:p>
        </w:tc>
      </w:tr>
      <w:tr>
        <w:tblPrEx>
          <w:tblCellMar>
            <w:top w:w="0" w:type="dxa"/>
            <w:left w:w="108" w:type="dxa"/>
            <w:bottom w:w="0" w:type="dxa"/>
            <w:right w:w="108" w:type="dxa"/>
          </w:tblCellMar>
        </w:tblPrEx>
        <w:trPr>
          <w:trHeight w:val="936" w:hRule="atLeast"/>
        </w:trPr>
        <w:tc>
          <w:tcPr>
            <w:tcW w:w="2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过程（20分）</w:t>
            </w:r>
          </w:p>
        </w:tc>
        <w:tc>
          <w:tcPr>
            <w:tcW w:w="3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资金管理（15分）</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资金到位率（5分）</w:t>
            </w:r>
          </w:p>
        </w:tc>
        <w:tc>
          <w:tcPr>
            <w:tcW w:w="365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资金到位率=（实际到位资金/预算资金）×100%，实际到位资金：一定时期（本年度或项目期）内落实到具体项目的资金得2.5分，否则不得分；预算资金：一定时期（本年度或项目期）内预算安排到具体项目的资金得2.5分，否则不得分。</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5</w:t>
            </w:r>
          </w:p>
        </w:tc>
      </w:tr>
      <w:tr>
        <w:tblPrEx>
          <w:tblCellMar>
            <w:top w:w="0" w:type="dxa"/>
            <w:left w:w="108" w:type="dxa"/>
            <w:bottom w:w="0" w:type="dxa"/>
            <w:right w:w="108" w:type="dxa"/>
          </w:tblCellMar>
        </w:tblPrEx>
        <w:trPr>
          <w:trHeight w:val="312" w:hRule="atLeast"/>
        </w:trPr>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预算执行率（5分）</w:t>
            </w:r>
          </w:p>
        </w:tc>
        <w:tc>
          <w:tcPr>
            <w:tcW w:w="365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预算执行率为100%，得5分，否则得分=（实际支出资金/实际到位资金）×100%*5。</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4.28</w:t>
            </w:r>
          </w:p>
        </w:tc>
      </w:tr>
      <w:tr>
        <w:tblPrEx>
          <w:tblCellMar>
            <w:top w:w="0" w:type="dxa"/>
            <w:left w:w="108" w:type="dxa"/>
            <w:bottom w:w="0" w:type="dxa"/>
            <w:right w:w="108" w:type="dxa"/>
          </w:tblCellMar>
        </w:tblPrEx>
        <w:trPr>
          <w:trHeight w:val="936" w:hRule="atLeast"/>
        </w:trPr>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资金使用合规性（5分）</w:t>
            </w:r>
          </w:p>
        </w:tc>
        <w:tc>
          <w:tcPr>
            <w:tcW w:w="365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①是否符合国家财经法规和财务管理制度以及有关专项资金管理办法的规定得1分，否则不得分；②资金的拨付是否有完整的审批程序和手续得1分，否则不得分；③是否符合项目预算批复或合同规定的用途得1分，否则不得分；④是否存在截留、挤占、挪用、虚列支出等情况得2分，否则不得分。</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5</w:t>
            </w:r>
          </w:p>
        </w:tc>
      </w:tr>
      <w:tr>
        <w:tblPrEx>
          <w:tblCellMar>
            <w:top w:w="0" w:type="dxa"/>
            <w:left w:w="108" w:type="dxa"/>
            <w:bottom w:w="0" w:type="dxa"/>
            <w:right w:w="108" w:type="dxa"/>
          </w:tblCellMar>
        </w:tblPrEx>
        <w:trPr>
          <w:trHeight w:val="624" w:hRule="atLeast"/>
        </w:trPr>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组织实施（5分）</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管理制度健全性（2分）</w:t>
            </w:r>
          </w:p>
        </w:tc>
        <w:tc>
          <w:tcPr>
            <w:tcW w:w="365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①是否已制定或具有相应的财务和业务管理制度得1分，否则不得分；②财务和业务管理制度是否合法、合规、完整得1分，否则不得分。</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2</w:t>
            </w:r>
          </w:p>
        </w:tc>
      </w:tr>
      <w:tr>
        <w:tblPrEx>
          <w:tblCellMar>
            <w:top w:w="0" w:type="dxa"/>
            <w:left w:w="108" w:type="dxa"/>
            <w:bottom w:w="0" w:type="dxa"/>
            <w:right w:w="108" w:type="dxa"/>
          </w:tblCellMar>
        </w:tblPrEx>
        <w:trPr>
          <w:trHeight w:val="936" w:hRule="atLeast"/>
        </w:trPr>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制度执行（3分）</w:t>
            </w:r>
          </w:p>
        </w:tc>
        <w:tc>
          <w:tcPr>
            <w:tcW w:w="365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①是否遵守相关法律法规和相关管理规定得1分，否则不得分；；②项目调整及支出调整手续是否完备得1分，否则不得分；③项目合同书、验收报告、技术鉴定等资料是否齐全并及时归档得0.5分，否则不得分；；④项目实施的人员条件、场地设备、信息支撑等是否落实到位得0.5分，否则不得分。</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3</w:t>
            </w:r>
          </w:p>
        </w:tc>
      </w:tr>
      <w:tr>
        <w:tblPrEx>
          <w:tblCellMar>
            <w:top w:w="0" w:type="dxa"/>
            <w:left w:w="108" w:type="dxa"/>
            <w:bottom w:w="0" w:type="dxa"/>
            <w:right w:w="108" w:type="dxa"/>
          </w:tblCellMar>
        </w:tblPrEx>
        <w:trPr>
          <w:trHeight w:val="420" w:hRule="atLeast"/>
        </w:trPr>
        <w:tc>
          <w:tcPr>
            <w:tcW w:w="2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产出（40分）</w:t>
            </w:r>
          </w:p>
        </w:tc>
        <w:tc>
          <w:tcPr>
            <w:tcW w:w="3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bCs w:val="0"/>
                <w:color w:val="000000"/>
                <w:spacing w:val="0"/>
                <w:sz w:val="21"/>
                <w:szCs w:val="21"/>
              </w:rPr>
              <w:t>产出数量（</w:t>
            </w:r>
            <w:r>
              <w:rPr>
                <w:rFonts w:hint="eastAsia"/>
                <w:bCs w:val="0"/>
                <w:color w:val="000000"/>
                <w:spacing w:val="0"/>
                <w:sz w:val="21"/>
                <w:szCs w:val="21"/>
              </w:rPr>
              <w:t>10</w:t>
            </w:r>
            <w:r>
              <w:rPr>
                <w:bCs w:val="0"/>
                <w:color w:val="000000"/>
                <w:spacing w:val="0"/>
                <w:sz w:val="21"/>
                <w:szCs w:val="21"/>
              </w:rPr>
              <w:t>分）</w:t>
            </w:r>
          </w:p>
        </w:tc>
        <w:tc>
          <w:tcPr>
            <w:tcW w:w="4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实际完成率（10分）</w:t>
            </w:r>
          </w:p>
        </w:tc>
        <w:tc>
          <w:tcPr>
            <w:tcW w:w="365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①“完成数据更新采集的地质调查钻孔数”完成该指标得满分（1.5分），否则按照（实际产出数/计划产出数）×100%*1.5分得分。</w:t>
            </w:r>
          </w:p>
        </w:tc>
        <w:tc>
          <w:tcPr>
            <w:tcW w:w="2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10</w:t>
            </w:r>
          </w:p>
        </w:tc>
      </w:tr>
      <w:tr>
        <w:tblPrEx>
          <w:tblCellMar>
            <w:top w:w="0" w:type="dxa"/>
            <w:left w:w="108" w:type="dxa"/>
            <w:bottom w:w="0" w:type="dxa"/>
            <w:right w:w="108" w:type="dxa"/>
          </w:tblCellMar>
        </w:tblPrEx>
        <w:trPr>
          <w:trHeight w:val="420" w:hRule="atLeast"/>
        </w:trPr>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4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65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②“年度工作成果报告数量”完成该指标得满分（1.5分），否则按照（实际产出数/计划产出数）×100%*1.5分得分。</w:t>
            </w: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r>
      <w:tr>
        <w:tblPrEx>
          <w:tblCellMar>
            <w:top w:w="0" w:type="dxa"/>
            <w:left w:w="108" w:type="dxa"/>
            <w:bottom w:w="0" w:type="dxa"/>
            <w:right w:w="108" w:type="dxa"/>
          </w:tblCellMar>
        </w:tblPrEx>
        <w:trPr>
          <w:trHeight w:val="720" w:hRule="atLeast"/>
        </w:trPr>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4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65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③</w:t>
            </w:r>
            <w:r>
              <w:rPr>
                <w:bCs w:val="0"/>
                <w:color w:val="000000"/>
                <w:spacing w:val="0"/>
                <w:sz w:val="21"/>
                <w:szCs w:val="21"/>
              </w:rPr>
              <w:t>“完成数据更新采集的地质调查钻孔数”完成该指标得满分（2分），否则按照（实际产出数/计划产出数）×100%*2分得分。”</w:t>
            </w: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r>
      <w:tr>
        <w:tblPrEx>
          <w:tblCellMar>
            <w:top w:w="0" w:type="dxa"/>
            <w:left w:w="108" w:type="dxa"/>
            <w:bottom w:w="0" w:type="dxa"/>
            <w:right w:w="108" w:type="dxa"/>
          </w:tblCellMar>
        </w:tblPrEx>
        <w:trPr>
          <w:trHeight w:val="420" w:hRule="atLeast"/>
        </w:trPr>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4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65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④</w:t>
            </w:r>
            <w:r>
              <w:rPr>
                <w:bCs w:val="0"/>
                <w:color w:val="000000"/>
                <w:spacing w:val="0"/>
                <w:sz w:val="21"/>
                <w:szCs w:val="21"/>
              </w:rPr>
              <w:t>“完成数据采集的动态监测点个数”完成该指标得满分（2分），否则按照（实际产出数/计划产出数）×100%*2分得分。</w:t>
            </w: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r>
      <w:tr>
        <w:tblPrEx>
          <w:tblCellMar>
            <w:top w:w="0" w:type="dxa"/>
            <w:left w:w="108" w:type="dxa"/>
            <w:bottom w:w="0" w:type="dxa"/>
            <w:right w:w="108" w:type="dxa"/>
          </w:tblCellMar>
        </w:tblPrEx>
        <w:trPr>
          <w:trHeight w:val="420" w:hRule="atLeast"/>
        </w:trPr>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4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65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⑤</w:t>
            </w:r>
            <w:r>
              <w:rPr>
                <w:bCs w:val="0"/>
                <w:color w:val="000000"/>
                <w:spacing w:val="0"/>
                <w:sz w:val="21"/>
                <w:szCs w:val="21"/>
              </w:rPr>
              <w:t>“完成数据更新采集的地质调查钻孔数”完成该指标得满分（1.5分），否则按照（实际产出数/计划产出数）×100%*1.5分得分。</w:t>
            </w: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r>
      <w:tr>
        <w:tblPrEx>
          <w:tblCellMar>
            <w:top w:w="0" w:type="dxa"/>
            <w:left w:w="108" w:type="dxa"/>
            <w:bottom w:w="0" w:type="dxa"/>
            <w:right w:w="108" w:type="dxa"/>
          </w:tblCellMar>
        </w:tblPrEx>
        <w:trPr>
          <w:trHeight w:val="420" w:hRule="atLeast"/>
        </w:trPr>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4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658" w:type="pct"/>
            <w:tcBorders>
              <w:top w:val="nil"/>
              <w:left w:val="nil"/>
              <w:bottom w:val="nil"/>
              <w:right w:val="nil"/>
            </w:tcBorders>
            <w:shd w:val="clear" w:color="auto" w:fill="auto"/>
            <w:noWrap/>
            <w:vAlign w:val="center"/>
          </w:tcPr>
          <w:p>
            <w:pPr>
              <w:spacing w:line="240" w:lineRule="auto"/>
              <w:jc w:val="left"/>
              <w:rPr>
                <w:bCs w:val="0"/>
                <w:color w:val="000000"/>
                <w:spacing w:val="0"/>
                <w:sz w:val="21"/>
                <w:szCs w:val="21"/>
              </w:rPr>
            </w:pPr>
            <w:r>
              <w:rPr>
                <w:rFonts w:hint="eastAsia"/>
                <w:bCs w:val="0"/>
                <w:color w:val="000000"/>
                <w:spacing w:val="0"/>
                <w:sz w:val="21"/>
                <w:szCs w:val="21"/>
              </w:rPr>
              <w:t>⑥</w:t>
            </w:r>
            <w:r>
              <w:rPr>
                <w:bCs w:val="0"/>
                <w:color w:val="000000"/>
                <w:spacing w:val="0"/>
                <w:sz w:val="21"/>
                <w:szCs w:val="21"/>
              </w:rPr>
              <w:t>“新增外业项目专用设备”完成该指标得满分（1.5分），否则按照（实际产出数/计划产出数）×100%*1.5分得分。</w:t>
            </w: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r>
      <w:tr>
        <w:tblPrEx>
          <w:tblCellMar>
            <w:top w:w="0" w:type="dxa"/>
            <w:left w:w="108" w:type="dxa"/>
            <w:bottom w:w="0" w:type="dxa"/>
            <w:right w:w="108" w:type="dxa"/>
          </w:tblCellMar>
        </w:tblPrEx>
        <w:trPr>
          <w:trHeight w:val="420" w:hRule="atLeast"/>
        </w:trPr>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4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65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实际完成率=（实际产出数/计划产出数）×100% 。</w:t>
            </w: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r>
      <w:tr>
        <w:tblPrEx>
          <w:tblCellMar>
            <w:top w:w="0" w:type="dxa"/>
            <w:left w:w="108" w:type="dxa"/>
            <w:bottom w:w="0" w:type="dxa"/>
            <w:right w:w="108" w:type="dxa"/>
          </w:tblCellMar>
        </w:tblPrEx>
        <w:trPr>
          <w:trHeight w:val="420" w:hRule="atLeast"/>
        </w:trPr>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4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65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实际产出数：一定时期（本年度或项目期）内项目实际产出的产品或提供的服务数量。</w:t>
            </w: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r>
      <w:tr>
        <w:tblPrEx>
          <w:tblCellMar>
            <w:top w:w="0" w:type="dxa"/>
            <w:left w:w="108" w:type="dxa"/>
            <w:bottom w:w="0" w:type="dxa"/>
            <w:right w:w="108" w:type="dxa"/>
          </w:tblCellMar>
        </w:tblPrEx>
        <w:trPr>
          <w:trHeight w:val="420" w:hRule="atLeast"/>
        </w:trPr>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产出质量（10分）</w:t>
            </w:r>
          </w:p>
        </w:tc>
        <w:tc>
          <w:tcPr>
            <w:tcW w:w="4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质量达标率（10分）</w:t>
            </w:r>
          </w:p>
        </w:tc>
        <w:tc>
          <w:tcPr>
            <w:tcW w:w="365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①“外业项目专用设备采购合格率”完成该指标得满分（10分），否则按照（质量达标产出数/实际产出数）×100%*10分得分。</w:t>
            </w:r>
          </w:p>
        </w:tc>
        <w:tc>
          <w:tcPr>
            <w:tcW w:w="2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10</w:t>
            </w:r>
          </w:p>
        </w:tc>
      </w:tr>
      <w:tr>
        <w:tblPrEx>
          <w:tblCellMar>
            <w:top w:w="0" w:type="dxa"/>
            <w:left w:w="108" w:type="dxa"/>
            <w:bottom w:w="0" w:type="dxa"/>
            <w:right w:w="108" w:type="dxa"/>
          </w:tblCellMar>
        </w:tblPrEx>
        <w:trPr>
          <w:trHeight w:val="420" w:hRule="atLeast"/>
        </w:trPr>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4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65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质量达标率=（质量达标产出数/实际产出数）×100%。</w:t>
            </w: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r>
      <w:tr>
        <w:tblPrEx>
          <w:tblCellMar>
            <w:top w:w="0" w:type="dxa"/>
            <w:left w:w="108" w:type="dxa"/>
            <w:bottom w:w="0" w:type="dxa"/>
            <w:right w:w="108" w:type="dxa"/>
          </w:tblCellMar>
        </w:tblPrEx>
        <w:trPr>
          <w:trHeight w:val="420" w:hRule="atLeast"/>
        </w:trPr>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4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65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质量达标产出数：一定时期（本年度或项目期）内实际达到既定质量标准的产品或服务数量。</w:t>
            </w: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r>
      <w:tr>
        <w:tblPrEx>
          <w:tblCellMar>
            <w:top w:w="0" w:type="dxa"/>
            <w:left w:w="108" w:type="dxa"/>
            <w:bottom w:w="0" w:type="dxa"/>
            <w:right w:w="108" w:type="dxa"/>
          </w:tblCellMar>
        </w:tblPrEx>
        <w:trPr>
          <w:trHeight w:val="560" w:hRule="atLeast"/>
        </w:trPr>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产出时效（10分）</w:t>
            </w:r>
          </w:p>
        </w:tc>
        <w:tc>
          <w:tcPr>
            <w:tcW w:w="4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完成及时性（10分）</w:t>
            </w:r>
          </w:p>
        </w:tc>
        <w:tc>
          <w:tcPr>
            <w:tcW w:w="365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①"年度工作成果报告按时完成率（10分），否则按照（实际完成率/计划完成率）×100%*10分得分。</w:t>
            </w:r>
          </w:p>
        </w:tc>
        <w:tc>
          <w:tcPr>
            <w:tcW w:w="2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10</w:t>
            </w:r>
          </w:p>
        </w:tc>
      </w:tr>
      <w:tr>
        <w:tblPrEx>
          <w:tblCellMar>
            <w:top w:w="0" w:type="dxa"/>
            <w:left w:w="108" w:type="dxa"/>
            <w:bottom w:w="0" w:type="dxa"/>
            <w:right w:w="108" w:type="dxa"/>
          </w:tblCellMar>
        </w:tblPrEx>
        <w:trPr>
          <w:trHeight w:val="820" w:hRule="atLeast"/>
        </w:trPr>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4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65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 xml:space="preserve">实际完成时间：项目实施单位完成该项目实际所耗用的时间。                                                </w:t>
            </w:r>
            <w:r>
              <w:rPr>
                <w:rFonts w:hint="eastAsia"/>
                <w:bCs w:val="0"/>
                <w:color w:val="000000"/>
                <w:spacing w:val="0"/>
                <w:sz w:val="21"/>
                <w:szCs w:val="21"/>
              </w:rPr>
              <w:br w:type="textWrapping"/>
            </w:r>
            <w:r>
              <w:rPr>
                <w:rFonts w:hint="eastAsia"/>
                <w:bCs w:val="0"/>
                <w:color w:val="000000"/>
                <w:spacing w:val="0"/>
                <w:sz w:val="21"/>
                <w:szCs w:val="21"/>
              </w:rPr>
              <w:t>计划完成时间：按照项目实施计划或相关规定完成该项目所需的时间。</w:t>
            </w: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r>
      <w:tr>
        <w:tblPrEx>
          <w:tblCellMar>
            <w:top w:w="0" w:type="dxa"/>
            <w:left w:w="108" w:type="dxa"/>
            <w:bottom w:w="0" w:type="dxa"/>
            <w:right w:w="108" w:type="dxa"/>
          </w:tblCellMar>
        </w:tblPrEx>
        <w:trPr>
          <w:trHeight w:val="312" w:hRule="atLeast"/>
        </w:trPr>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50" w:type="pct"/>
            <w:vMerge w:val="restart"/>
            <w:tcBorders>
              <w:top w:val="single" w:color="000000" w:sz="4" w:space="0"/>
              <w:left w:val="single" w:color="000000" w:sz="4" w:space="0"/>
              <w:bottom w:val="nil"/>
              <w:right w:val="single" w:color="000000" w:sz="4" w:space="0"/>
            </w:tcBorders>
            <w:shd w:val="clear" w:color="auto" w:fill="auto"/>
            <w:vAlign w:val="center"/>
          </w:tcPr>
          <w:p>
            <w:pPr>
              <w:spacing w:line="240" w:lineRule="auto"/>
              <w:jc w:val="left"/>
              <w:rPr>
                <w:bCs w:val="0"/>
                <w:color w:val="000000"/>
                <w:spacing w:val="0"/>
                <w:sz w:val="21"/>
                <w:szCs w:val="21"/>
              </w:rPr>
            </w:pPr>
            <w:r>
              <w:rPr>
                <w:bCs w:val="0"/>
                <w:color w:val="000000"/>
                <w:spacing w:val="0"/>
                <w:sz w:val="21"/>
                <w:szCs w:val="21"/>
              </w:rPr>
              <w:t>产出成本（10分）</w:t>
            </w:r>
          </w:p>
        </w:tc>
        <w:tc>
          <w:tcPr>
            <w:tcW w:w="442" w:type="pct"/>
            <w:vMerge w:val="restart"/>
            <w:tcBorders>
              <w:top w:val="single" w:color="000000" w:sz="4" w:space="0"/>
              <w:left w:val="single" w:color="000000" w:sz="4" w:space="0"/>
              <w:bottom w:val="nil"/>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成本节约率（10分）</w:t>
            </w:r>
          </w:p>
        </w:tc>
        <w:tc>
          <w:tcPr>
            <w:tcW w:w="365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①“专用设备采购费用”完成该指标得满分（3分）否则得分=（实际支出资金/实际到位资金）×100%*3</w:t>
            </w:r>
          </w:p>
        </w:tc>
        <w:tc>
          <w:tcPr>
            <w:tcW w:w="261" w:type="pct"/>
            <w:vMerge w:val="restart"/>
            <w:tcBorders>
              <w:top w:val="single" w:color="000000" w:sz="4" w:space="0"/>
              <w:left w:val="single" w:color="000000" w:sz="4" w:space="0"/>
              <w:bottom w:val="nil"/>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6.85</w:t>
            </w:r>
          </w:p>
        </w:tc>
      </w:tr>
      <w:tr>
        <w:tblPrEx>
          <w:tblCellMar>
            <w:top w:w="0" w:type="dxa"/>
            <w:left w:w="108" w:type="dxa"/>
            <w:bottom w:w="0" w:type="dxa"/>
            <w:right w:w="108" w:type="dxa"/>
          </w:tblCellMar>
        </w:tblPrEx>
        <w:trPr>
          <w:trHeight w:val="312" w:hRule="atLeast"/>
        </w:trPr>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50" w:type="pct"/>
            <w:vMerge w:val="continue"/>
            <w:tcBorders>
              <w:top w:val="single" w:color="000000" w:sz="4" w:space="0"/>
              <w:left w:val="single" w:color="000000" w:sz="4" w:space="0"/>
              <w:bottom w:val="nil"/>
              <w:right w:val="single" w:color="000000" w:sz="4" w:space="0"/>
            </w:tcBorders>
            <w:shd w:val="clear" w:color="auto" w:fill="auto"/>
            <w:vAlign w:val="center"/>
          </w:tcPr>
          <w:p>
            <w:pPr>
              <w:spacing w:line="240" w:lineRule="auto"/>
              <w:jc w:val="left"/>
              <w:rPr>
                <w:bCs w:val="0"/>
                <w:color w:val="000000"/>
                <w:spacing w:val="0"/>
                <w:sz w:val="21"/>
                <w:szCs w:val="21"/>
              </w:rPr>
            </w:pPr>
          </w:p>
        </w:tc>
        <w:tc>
          <w:tcPr>
            <w:tcW w:w="442" w:type="pct"/>
            <w:vMerge w:val="continue"/>
            <w:tcBorders>
              <w:top w:val="single" w:color="000000" w:sz="4" w:space="0"/>
              <w:left w:val="single" w:color="000000" w:sz="4" w:space="0"/>
              <w:bottom w:val="nil"/>
              <w:right w:val="single" w:color="000000" w:sz="4" w:space="0"/>
            </w:tcBorders>
            <w:shd w:val="clear" w:color="auto" w:fill="auto"/>
            <w:vAlign w:val="center"/>
          </w:tcPr>
          <w:p>
            <w:pPr>
              <w:spacing w:line="240" w:lineRule="auto"/>
              <w:jc w:val="left"/>
              <w:rPr>
                <w:bCs w:val="0"/>
                <w:color w:val="000000"/>
                <w:spacing w:val="0"/>
                <w:sz w:val="21"/>
                <w:szCs w:val="21"/>
              </w:rPr>
            </w:pPr>
          </w:p>
        </w:tc>
        <w:tc>
          <w:tcPr>
            <w:tcW w:w="365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②"规划一张图项目委托业务费"完成该指标得满分（4分）否则得分=（实际支出资金/实际到位资金）×100%*4</w:t>
            </w:r>
          </w:p>
        </w:tc>
        <w:tc>
          <w:tcPr>
            <w:tcW w:w="261" w:type="pct"/>
            <w:vMerge w:val="continue"/>
            <w:tcBorders>
              <w:top w:val="single" w:color="000000" w:sz="4" w:space="0"/>
              <w:left w:val="single" w:color="000000" w:sz="4" w:space="0"/>
              <w:bottom w:val="nil"/>
              <w:right w:val="single" w:color="000000" w:sz="4" w:space="0"/>
            </w:tcBorders>
            <w:shd w:val="clear" w:color="auto" w:fill="auto"/>
            <w:vAlign w:val="center"/>
          </w:tcPr>
          <w:p>
            <w:pPr>
              <w:spacing w:line="240" w:lineRule="auto"/>
              <w:jc w:val="left"/>
              <w:rPr>
                <w:bCs w:val="0"/>
                <w:color w:val="000000"/>
                <w:spacing w:val="0"/>
                <w:sz w:val="21"/>
                <w:szCs w:val="21"/>
              </w:rPr>
            </w:pPr>
          </w:p>
        </w:tc>
      </w:tr>
      <w:tr>
        <w:tblPrEx>
          <w:tblCellMar>
            <w:top w:w="0" w:type="dxa"/>
            <w:left w:w="108" w:type="dxa"/>
            <w:bottom w:w="0" w:type="dxa"/>
            <w:right w:w="108" w:type="dxa"/>
          </w:tblCellMar>
        </w:tblPrEx>
        <w:trPr>
          <w:trHeight w:val="312" w:hRule="atLeast"/>
        </w:trPr>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50" w:type="pct"/>
            <w:vMerge w:val="continue"/>
            <w:tcBorders>
              <w:top w:val="single" w:color="000000" w:sz="4" w:space="0"/>
              <w:left w:val="single" w:color="000000" w:sz="4" w:space="0"/>
              <w:bottom w:val="nil"/>
              <w:right w:val="single" w:color="000000" w:sz="4" w:space="0"/>
            </w:tcBorders>
            <w:shd w:val="clear" w:color="auto" w:fill="auto"/>
            <w:vAlign w:val="center"/>
          </w:tcPr>
          <w:p>
            <w:pPr>
              <w:spacing w:line="240" w:lineRule="auto"/>
              <w:jc w:val="left"/>
              <w:rPr>
                <w:bCs w:val="0"/>
                <w:color w:val="000000"/>
                <w:spacing w:val="0"/>
                <w:sz w:val="21"/>
                <w:szCs w:val="21"/>
              </w:rPr>
            </w:pPr>
          </w:p>
        </w:tc>
        <w:tc>
          <w:tcPr>
            <w:tcW w:w="442" w:type="pct"/>
            <w:vMerge w:val="continue"/>
            <w:tcBorders>
              <w:top w:val="single" w:color="000000" w:sz="4" w:space="0"/>
              <w:left w:val="single" w:color="000000" w:sz="4" w:space="0"/>
              <w:bottom w:val="nil"/>
              <w:right w:val="single" w:color="000000" w:sz="4" w:space="0"/>
            </w:tcBorders>
            <w:shd w:val="clear" w:color="auto" w:fill="auto"/>
            <w:vAlign w:val="center"/>
          </w:tcPr>
          <w:p>
            <w:pPr>
              <w:spacing w:line="240" w:lineRule="auto"/>
              <w:jc w:val="left"/>
              <w:rPr>
                <w:bCs w:val="0"/>
                <w:color w:val="000000"/>
                <w:spacing w:val="0"/>
                <w:sz w:val="21"/>
                <w:szCs w:val="21"/>
              </w:rPr>
            </w:pPr>
          </w:p>
        </w:tc>
        <w:tc>
          <w:tcPr>
            <w:tcW w:w="365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①“专家及项目工作人员劳务费”完成该指标得满分（3分）否则得分=（实际支出资金/实际到位资金）×100%*3</w:t>
            </w:r>
          </w:p>
        </w:tc>
        <w:tc>
          <w:tcPr>
            <w:tcW w:w="261" w:type="pct"/>
            <w:vMerge w:val="continue"/>
            <w:tcBorders>
              <w:top w:val="single" w:color="000000" w:sz="4" w:space="0"/>
              <w:left w:val="single" w:color="000000" w:sz="4" w:space="0"/>
              <w:bottom w:val="nil"/>
              <w:right w:val="single" w:color="000000" w:sz="4" w:space="0"/>
            </w:tcBorders>
            <w:shd w:val="clear" w:color="auto" w:fill="auto"/>
            <w:vAlign w:val="center"/>
          </w:tcPr>
          <w:p>
            <w:pPr>
              <w:spacing w:line="240" w:lineRule="auto"/>
              <w:jc w:val="left"/>
              <w:rPr>
                <w:bCs w:val="0"/>
                <w:color w:val="000000"/>
                <w:spacing w:val="0"/>
                <w:sz w:val="21"/>
                <w:szCs w:val="21"/>
              </w:rPr>
            </w:pPr>
          </w:p>
        </w:tc>
      </w:tr>
      <w:tr>
        <w:tblPrEx>
          <w:tblCellMar>
            <w:top w:w="0" w:type="dxa"/>
            <w:left w:w="108" w:type="dxa"/>
            <w:bottom w:w="0" w:type="dxa"/>
            <w:right w:w="108" w:type="dxa"/>
          </w:tblCellMar>
        </w:tblPrEx>
        <w:trPr>
          <w:trHeight w:val="420" w:hRule="atLeast"/>
        </w:trPr>
        <w:tc>
          <w:tcPr>
            <w:tcW w:w="2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效益（20分）</w:t>
            </w:r>
          </w:p>
        </w:tc>
        <w:tc>
          <w:tcPr>
            <w:tcW w:w="3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项目效益（10分）</w:t>
            </w:r>
          </w:p>
        </w:tc>
        <w:tc>
          <w:tcPr>
            <w:tcW w:w="4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实施效益（10分）</w:t>
            </w:r>
          </w:p>
        </w:tc>
        <w:tc>
          <w:tcPr>
            <w:tcW w:w="365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①经济效益：无</w:t>
            </w:r>
          </w:p>
        </w:tc>
        <w:tc>
          <w:tcPr>
            <w:tcW w:w="2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10</w:t>
            </w:r>
          </w:p>
        </w:tc>
      </w:tr>
      <w:tr>
        <w:tblPrEx>
          <w:tblCellMar>
            <w:top w:w="0" w:type="dxa"/>
            <w:left w:w="108" w:type="dxa"/>
            <w:bottom w:w="0" w:type="dxa"/>
            <w:right w:w="108" w:type="dxa"/>
          </w:tblCellMar>
        </w:tblPrEx>
        <w:trPr>
          <w:trHeight w:val="420" w:hRule="atLeast"/>
        </w:trPr>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4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65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②社会效益：“保障经营性项目顺利实施”完成该指标得满分（5分）否则不得分；</w:t>
            </w: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r>
      <w:tr>
        <w:tblPrEx>
          <w:tblCellMar>
            <w:top w:w="0" w:type="dxa"/>
            <w:left w:w="108" w:type="dxa"/>
            <w:bottom w:w="0" w:type="dxa"/>
            <w:right w:w="108" w:type="dxa"/>
          </w:tblCellMar>
        </w:tblPrEx>
        <w:trPr>
          <w:trHeight w:val="420" w:hRule="atLeast"/>
        </w:trPr>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4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65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③生态效益：无</w:t>
            </w: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r>
      <w:tr>
        <w:tblPrEx>
          <w:tblCellMar>
            <w:top w:w="0" w:type="dxa"/>
            <w:left w:w="108" w:type="dxa"/>
            <w:bottom w:w="0" w:type="dxa"/>
            <w:right w:w="108" w:type="dxa"/>
          </w:tblCellMar>
        </w:tblPrEx>
        <w:trPr>
          <w:trHeight w:val="420" w:hRule="atLeast"/>
        </w:trPr>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4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65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④可持续影响：“维护社会稳定和长治久安长期”完成该指标得满分（5分）否则不得分；</w:t>
            </w: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r>
      <w:tr>
        <w:tblPrEx>
          <w:tblCellMar>
            <w:top w:w="0" w:type="dxa"/>
            <w:left w:w="108" w:type="dxa"/>
            <w:bottom w:w="0" w:type="dxa"/>
            <w:right w:w="108" w:type="dxa"/>
          </w:tblCellMar>
        </w:tblPrEx>
        <w:trPr>
          <w:trHeight w:val="420" w:hRule="atLeast"/>
        </w:trPr>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4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满意度（10分）</w:t>
            </w:r>
          </w:p>
        </w:tc>
        <w:tc>
          <w:tcPr>
            <w:tcW w:w="365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根据问卷调查，使用人员满意度</w:t>
            </w:r>
          </w:p>
        </w:tc>
        <w:tc>
          <w:tcPr>
            <w:tcW w:w="2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10</w:t>
            </w:r>
          </w:p>
        </w:tc>
      </w:tr>
      <w:tr>
        <w:tblPrEx>
          <w:tblCellMar>
            <w:top w:w="0" w:type="dxa"/>
            <w:left w:w="108" w:type="dxa"/>
            <w:bottom w:w="0" w:type="dxa"/>
            <w:right w:w="108" w:type="dxa"/>
          </w:tblCellMar>
        </w:tblPrEx>
        <w:trPr>
          <w:trHeight w:val="420" w:hRule="atLeast"/>
        </w:trPr>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4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65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①使用人员满意度大于等于95%，得10分；</w:t>
            </w: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r>
      <w:tr>
        <w:tblPrEx>
          <w:tblCellMar>
            <w:top w:w="0" w:type="dxa"/>
            <w:left w:w="108" w:type="dxa"/>
            <w:bottom w:w="0" w:type="dxa"/>
            <w:right w:w="108" w:type="dxa"/>
          </w:tblCellMar>
        </w:tblPrEx>
        <w:trPr>
          <w:trHeight w:val="420" w:hRule="atLeast"/>
        </w:trPr>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4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65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②使用人员满意度小于95%大于等于85%，得8分；</w:t>
            </w: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r>
      <w:tr>
        <w:tblPrEx>
          <w:tblCellMar>
            <w:top w:w="0" w:type="dxa"/>
            <w:left w:w="108" w:type="dxa"/>
            <w:bottom w:w="0" w:type="dxa"/>
            <w:right w:w="108" w:type="dxa"/>
          </w:tblCellMar>
        </w:tblPrEx>
        <w:trPr>
          <w:trHeight w:val="420" w:hRule="atLeast"/>
        </w:trPr>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4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65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③使用人员满意度小于85%大于等于70%，得6分；</w:t>
            </w: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r>
      <w:tr>
        <w:tblPrEx>
          <w:tblCellMar>
            <w:top w:w="0" w:type="dxa"/>
            <w:left w:w="108" w:type="dxa"/>
            <w:bottom w:w="0" w:type="dxa"/>
            <w:right w:w="108" w:type="dxa"/>
          </w:tblCellMar>
        </w:tblPrEx>
        <w:trPr>
          <w:trHeight w:val="420" w:hRule="atLeast"/>
        </w:trPr>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4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365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④使用人员满意度小于等于70%，不得分。</w:t>
            </w: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r>
      <w:tr>
        <w:tblPrEx>
          <w:tblCellMar>
            <w:top w:w="0" w:type="dxa"/>
            <w:left w:w="108" w:type="dxa"/>
            <w:bottom w:w="0" w:type="dxa"/>
            <w:right w:w="108" w:type="dxa"/>
          </w:tblCellMar>
        </w:tblPrEx>
        <w:trPr>
          <w:trHeight w:val="420" w:hRule="atLeast"/>
        </w:trPr>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合计</w:t>
            </w:r>
          </w:p>
        </w:tc>
        <w:tc>
          <w:tcPr>
            <w:tcW w:w="79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r>
              <w:rPr>
                <w:rFonts w:hint="eastAsia"/>
                <w:bCs w:val="0"/>
                <w:color w:val="000000"/>
                <w:spacing w:val="0"/>
                <w:sz w:val="21"/>
                <w:szCs w:val="21"/>
              </w:rPr>
              <w:t>100分</w:t>
            </w:r>
          </w:p>
        </w:tc>
        <w:tc>
          <w:tcPr>
            <w:tcW w:w="365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bCs w:val="0"/>
                <w:color w:val="000000"/>
                <w:spacing w:val="0"/>
                <w:sz w:val="21"/>
                <w:szCs w:val="21"/>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left"/>
              <w:rPr>
                <w:bCs w:val="0"/>
                <w:color w:val="000000"/>
                <w:spacing w:val="0"/>
                <w:sz w:val="21"/>
                <w:szCs w:val="21"/>
              </w:rPr>
            </w:pPr>
            <w:r>
              <w:rPr>
                <w:rFonts w:hint="eastAsia"/>
                <w:bCs w:val="0"/>
                <w:color w:val="000000"/>
                <w:spacing w:val="0"/>
                <w:sz w:val="21"/>
                <w:szCs w:val="21"/>
              </w:rPr>
              <w:t>96.13</w:t>
            </w:r>
          </w:p>
        </w:tc>
      </w:tr>
    </w:tbl>
    <w:p>
      <w:pPr>
        <w:spacing w:line="240" w:lineRule="auto"/>
        <w:jc w:val="left"/>
        <w:rPr>
          <w:bCs w:val="0"/>
          <w:color w:val="000000"/>
          <w:spacing w:val="0"/>
          <w:sz w:val="21"/>
          <w:szCs w:val="21"/>
        </w:rPr>
      </w:pPr>
    </w:p>
    <w:sectPr>
      <w:pgSz w:w="16838" w:h="11906" w:orient="landscape"/>
      <w:pgMar w:top="1797" w:right="1440" w:bottom="1559" w:left="1440" w:header="851" w:footer="992" w:gutter="0"/>
      <w:cols w:space="425"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4750D89-8D3E-4D81-88A3-89965C34F8C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48E07FEE-0CE7-449E-996E-D69337CA5239}"/>
  </w:font>
  <w:font w:name="仿宋">
    <w:panose1 w:val="02010609060101010101"/>
    <w:charset w:val="86"/>
    <w:family w:val="modern"/>
    <w:pitch w:val="default"/>
    <w:sig w:usb0="800002BF" w:usb1="38CF7CFA" w:usb2="00000016" w:usb3="00000000" w:csb0="00040001" w:csb1="00000000"/>
    <w:embedRegular r:id="rId3" w:fontKey="{F432052F-A1A0-475F-899D-07B2A3691B4D}"/>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方正仿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黑体_GBK">
    <w:altName w:val="Arial Unicode MS"/>
    <w:panose1 w:val="00000000000000000000"/>
    <w:charset w:val="86"/>
    <w:family w:val="auto"/>
    <w:pitch w:val="default"/>
    <w:sig w:usb0="00000000" w:usb1="00000000" w:usb2="00000000" w:usb3="00000000" w:csb0="00040000" w:csb1="00000000"/>
    <w:embedRegular r:id="rId4" w:fontKey="{E110D7B5-FC98-4609-85CA-A6AA0B3CC6EC}"/>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61617207"/>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1FE151"/>
    <w:multiLevelType w:val="singleLevel"/>
    <w:tmpl w:val="131FE151"/>
    <w:lvl w:ilvl="0" w:tentative="0">
      <w:start w:val="4"/>
      <w:numFmt w:val="chineseCounting"/>
      <w:suff w:val="nothing"/>
      <w:lvlText w:val="（%1）"/>
      <w:lvlJc w:val="left"/>
      <w:rPr>
        <w:rFonts w:hint="eastAsia"/>
      </w:rPr>
    </w:lvl>
  </w:abstractNum>
  <w:abstractNum w:abstractNumId="1">
    <w:nsid w:val="47EF152B"/>
    <w:multiLevelType w:val="singleLevel"/>
    <w:tmpl w:val="47EF152B"/>
    <w:lvl w:ilvl="0" w:tentative="0">
      <w:start w:val="1"/>
      <w:numFmt w:val="decimal"/>
      <w:suff w:val="nothing"/>
      <w:lvlText w:val="（%1）"/>
      <w:lvlJc w:val="left"/>
      <w:pPr>
        <w:ind w:left="562" w:firstLine="0"/>
      </w:pPr>
    </w:lvl>
  </w:abstractNum>
  <w:abstractNum w:abstractNumId="2">
    <w:nsid w:val="617201D9"/>
    <w:multiLevelType w:val="singleLevel"/>
    <w:tmpl w:val="617201D9"/>
    <w:lvl w:ilvl="0" w:tentative="0">
      <w:start w:val="4"/>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136"/>
  <w:drawingGridVerticalSpacing w:val="381"/>
  <w:displayHorizont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jEyYjE1NTYwYzljMjA2YWJlMDU0MzNkYTg0NTM0MjQifQ=="/>
  </w:docVars>
  <w:rsids>
    <w:rsidRoot w:val="00CA6457"/>
    <w:rsid w:val="00003365"/>
    <w:rsid w:val="00004E43"/>
    <w:rsid w:val="000110C4"/>
    <w:rsid w:val="00037D50"/>
    <w:rsid w:val="000469B8"/>
    <w:rsid w:val="0005416C"/>
    <w:rsid w:val="00056465"/>
    <w:rsid w:val="0006058A"/>
    <w:rsid w:val="00090251"/>
    <w:rsid w:val="00094A8D"/>
    <w:rsid w:val="000A5CC7"/>
    <w:rsid w:val="000E0F73"/>
    <w:rsid w:val="001003DC"/>
    <w:rsid w:val="001028C5"/>
    <w:rsid w:val="00102DFF"/>
    <w:rsid w:val="00121AE4"/>
    <w:rsid w:val="00131729"/>
    <w:rsid w:val="00137364"/>
    <w:rsid w:val="00142A2F"/>
    <w:rsid w:val="0014435A"/>
    <w:rsid w:val="0014601B"/>
    <w:rsid w:val="00146AAD"/>
    <w:rsid w:val="00150F05"/>
    <w:rsid w:val="00181485"/>
    <w:rsid w:val="00186563"/>
    <w:rsid w:val="00187874"/>
    <w:rsid w:val="001B3A40"/>
    <w:rsid w:val="001F671B"/>
    <w:rsid w:val="001F78EB"/>
    <w:rsid w:val="00217EDB"/>
    <w:rsid w:val="002470F4"/>
    <w:rsid w:val="002554F0"/>
    <w:rsid w:val="002633A5"/>
    <w:rsid w:val="00273CCD"/>
    <w:rsid w:val="00291BC0"/>
    <w:rsid w:val="00297E57"/>
    <w:rsid w:val="002A6E1A"/>
    <w:rsid w:val="002D4F90"/>
    <w:rsid w:val="002E53FC"/>
    <w:rsid w:val="002E5E87"/>
    <w:rsid w:val="002E7C80"/>
    <w:rsid w:val="00311DBE"/>
    <w:rsid w:val="003410A6"/>
    <w:rsid w:val="00345DD7"/>
    <w:rsid w:val="00351EFF"/>
    <w:rsid w:val="00383E50"/>
    <w:rsid w:val="003B0577"/>
    <w:rsid w:val="003B4B1E"/>
    <w:rsid w:val="003D114D"/>
    <w:rsid w:val="003E1288"/>
    <w:rsid w:val="003E7E58"/>
    <w:rsid w:val="003F5180"/>
    <w:rsid w:val="00406DBD"/>
    <w:rsid w:val="00414C3A"/>
    <w:rsid w:val="00424AC2"/>
    <w:rsid w:val="004366A8"/>
    <w:rsid w:val="0045426B"/>
    <w:rsid w:val="00481647"/>
    <w:rsid w:val="004A05EE"/>
    <w:rsid w:val="004A3B53"/>
    <w:rsid w:val="004B0929"/>
    <w:rsid w:val="004B0D74"/>
    <w:rsid w:val="004C38BC"/>
    <w:rsid w:val="004F1F3C"/>
    <w:rsid w:val="00502BA7"/>
    <w:rsid w:val="005136F0"/>
    <w:rsid w:val="005162F1"/>
    <w:rsid w:val="00535153"/>
    <w:rsid w:val="00554F82"/>
    <w:rsid w:val="0056390D"/>
    <w:rsid w:val="00567893"/>
    <w:rsid w:val="005719B0"/>
    <w:rsid w:val="00592E1E"/>
    <w:rsid w:val="005A4F2E"/>
    <w:rsid w:val="005A5018"/>
    <w:rsid w:val="005B42E4"/>
    <w:rsid w:val="005C51DF"/>
    <w:rsid w:val="005D10D6"/>
    <w:rsid w:val="005D1E1D"/>
    <w:rsid w:val="005E7C5E"/>
    <w:rsid w:val="00600B5A"/>
    <w:rsid w:val="00602049"/>
    <w:rsid w:val="006835A6"/>
    <w:rsid w:val="006A1CC4"/>
    <w:rsid w:val="006C35E5"/>
    <w:rsid w:val="006C51C2"/>
    <w:rsid w:val="006C7CB9"/>
    <w:rsid w:val="006E68C4"/>
    <w:rsid w:val="00713DDF"/>
    <w:rsid w:val="0074412E"/>
    <w:rsid w:val="0075584F"/>
    <w:rsid w:val="0076216D"/>
    <w:rsid w:val="00764F87"/>
    <w:rsid w:val="00772C32"/>
    <w:rsid w:val="007A3C1F"/>
    <w:rsid w:val="007B1AC9"/>
    <w:rsid w:val="007C0EA3"/>
    <w:rsid w:val="007C7EC3"/>
    <w:rsid w:val="007D31E1"/>
    <w:rsid w:val="007D3676"/>
    <w:rsid w:val="007D7A30"/>
    <w:rsid w:val="00810970"/>
    <w:rsid w:val="008240C5"/>
    <w:rsid w:val="00826834"/>
    <w:rsid w:val="0084022A"/>
    <w:rsid w:val="00855E3A"/>
    <w:rsid w:val="008622B2"/>
    <w:rsid w:val="008771A1"/>
    <w:rsid w:val="00887DF4"/>
    <w:rsid w:val="008C6C26"/>
    <w:rsid w:val="008E7EB3"/>
    <w:rsid w:val="008F4CA9"/>
    <w:rsid w:val="0091457F"/>
    <w:rsid w:val="00922CB9"/>
    <w:rsid w:val="00925D36"/>
    <w:rsid w:val="00944DD1"/>
    <w:rsid w:val="00954232"/>
    <w:rsid w:val="00961955"/>
    <w:rsid w:val="0096373D"/>
    <w:rsid w:val="009757D2"/>
    <w:rsid w:val="00976FD7"/>
    <w:rsid w:val="00993344"/>
    <w:rsid w:val="009B5C22"/>
    <w:rsid w:val="009E5CD9"/>
    <w:rsid w:val="009F4373"/>
    <w:rsid w:val="00A10CEF"/>
    <w:rsid w:val="00A16729"/>
    <w:rsid w:val="00A256D5"/>
    <w:rsid w:val="00A26127"/>
    <w:rsid w:val="00A26421"/>
    <w:rsid w:val="00A34588"/>
    <w:rsid w:val="00A4017F"/>
    <w:rsid w:val="00A413B8"/>
    <w:rsid w:val="00A4293B"/>
    <w:rsid w:val="00A57D27"/>
    <w:rsid w:val="00A60F6F"/>
    <w:rsid w:val="00A67D50"/>
    <w:rsid w:val="00A75F82"/>
    <w:rsid w:val="00A8691A"/>
    <w:rsid w:val="00A869DB"/>
    <w:rsid w:val="00A9419B"/>
    <w:rsid w:val="00A972DF"/>
    <w:rsid w:val="00AA5AA4"/>
    <w:rsid w:val="00AB0B0D"/>
    <w:rsid w:val="00AB6C75"/>
    <w:rsid w:val="00AC1946"/>
    <w:rsid w:val="00AC3A96"/>
    <w:rsid w:val="00AD040E"/>
    <w:rsid w:val="00AD5E52"/>
    <w:rsid w:val="00AE473F"/>
    <w:rsid w:val="00AF683C"/>
    <w:rsid w:val="00B21C60"/>
    <w:rsid w:val="00B2343E"/>
    <w:rsid w:val="00B40063"/>
    <w:rsid w:val="00B41F61"/>
    <w:rsid w:val="00B425C7"/>
    <w:rsid w:val="00B53D26"/>
    <w:rsid w:val="00B74D04"/>
    <w:rsid w:val="00B760F5"/>
    <w:rsid w:val="00B83097"/>
    <w:rsid w:val="00B9256F"/>
    <w:rsid w:val="00BA187C"/>
    <w:rsid w:val="00BA46E6"/>
    <w:rsid w:val="00BB5015"/>
    <w:rsid w:val="00BD0D57"/>
    <w:rsid w:val="00BF0F1B"/>
    <w:rsid w:val="00C0325F"/>
    <w:rsid w:val="00C1750F"/>
    <w:rsid w:val="00C34DD1"/>
    <w:rsid w:val="00C40E07"/>
    <w:rsid w:val="00C50AEB"/>
    <w:rsid w:val="00C56C72"/>
    <w:rsid w:val="00C62CB9"/>
    <w:rsid w:val="00C70D48"/>
    <w:rsid w:val="00C8149F"/>
    <w:rsid w:val="00C960D9"/>
    <w:rsid w:val="00CA5AD1"/>
    <w:rsid w:val="00CA6457"/>
    <w:rsid w:val="00CA6DC2"/>
    <w:rsid w:val="00CD37A4"/>
    <w:rsid w:val="00CE2FD9"/>
    <w:rsid w:val="00CE5061"/>
    <w:rsid w:val="00CE5104"/>
    <w:rsid w:val="00D032EA"/>
    <w:rsid w:val="00D17F2E"/>
    <w:rsid w:val="00D240C5"/>
    <w:rsid w:val="00D30354"/>
    <w:rsid w:val="00D32D28"/>
    <w:rsid w:val="00D40DCC"/>
    <w:rsid w:val="00D4657D"/>
    <w:rsid w:val="00D52B7C"/>
    <w:rsid w:val="00D80C1E"/>
    <w:rsid w:val="00D9064A"/>
    <w:rsid w:val="00D93B1A"/>
    <w:rsid w:val="00D93D97"/>
    <w:rsid w:val="00D967F5"/>
    <w:rsid w:val="00D97894"/>
    <w:rsid w:val="00DA4559"/>
    <w:rsid w:val="00DB1661"/>
    <w:rsid w:val="00DD3412"/>
    <w:rsid w:val="00DF42A0"/>
    <w:rsid w:val="00E30E91"/>
    <w:rsid w:val="00E317F6"/>
    <w:rsid w:val="00E40CFA"/>
    <w:rsid w:val="00E46999"/>
    <w:rsid w:val="00E56F6E"/>
    <w:rsid w:val="00E655F7"/>
    <w:rsid w:val="00E7612A"/>
    <w:rsid w:val="00E769FE"/>
    <w:rsid w:val="00E774CE"/>
    <w:rsid w:val="00E96D03"/>
    <w:rsid w:val="00EA2CBE"/>
    <w:rsid w:val="00EB10A0"/>
    <w:rsid w:val="00ED42E4"/>
    <w:rsid w:val="00F32FEE"/>
    <w:rsid w:val="00F56255"/>
    <w:rsid w:val="00F6592A"/>
    <w:rsid w:val="00F7583B"/>
    <w:rsid w:val="00F842A8"/>
    <w:rsid w:val="00F86D8D"/>
    <w:rsid w:val="00FB10BB"/>
    <w:rsid w:val="00FD3100"/>
    <w:rsid w:val="00FE7EA2"/>
    <w:rsid w:val="00FF3B44"/>
    <w:rsid w:val="0153741C"/>
    <w:rsid w:val="073A6294"/>
    <w:rsid w:val="094C6A76"/>
    <w:rsid w:val="0FDA17CC"/>
    <w:rsid w:val="13EB044B"/>
    <w:rsid w:val="14B472A5"/>
    <w:rsid w:val="14D119F3"/>
    <w:rsid w:val="15FA3109"/>
    <w:rsid w:val="1ABB2C07"/>
    <w:rsid w:val="1CA25C28"/>
    <w:rsid w:val="1F4F2F8A"/>
    <w:rsid w:val="1FA0557D"/>
    <w:rsid w:val="20EF38A1"/>
    <w:rsid w:val="22CB7BA2"/>
    <w:rsid w:val="23ED4D6B"/>
    <w:rsid w:val="269B3D60"/>
    <w:rsid w:val="27532288"/>
    <w:rsid w:val="2AE11386"/>
    <w:rsid w:val="2D4C6AD2"/>
    <w:rsid w:val="2D5A6638"/>
    <w:rsid w:val="311F41E9"/>
    <w:rsid w:val="326A2A2B"/>
    <w:rsid w:val="340D5924"/>
    <w:rsid w:val="34733E19"/>
    <w:rsid w:val="349848F6"/>
    <w:rsid w:val="350D0ED8"/>
    <w:rsid w:val="362A1178"/>
    <w:rsid w:val="368B591D"/>
    <w:rsid w:val="379C6587"/>
    <w:rsid w:val="37F279C1"/>
    <w:rsid w:val="39F03B45"/>
    <w:rsid w:val="3A331B0D"/>
    <w:rsid w:val="40D42E61"/>
    <w:rsid w:val="41274A94"/>
    <w:rsid w:val="4136526A"/>
    <w:rsid w:val="41CF765E"/>
    <w:rsid w:val="432C4745"/>
    <w:rsid w:val="43B04001"/>
    <w:rsid w:val="45687296"/>
    <w:rsid w:val="4609551D"/>
    <w:rsid w:val="465E7674"/>
    <w:rsid w:val="472278DA"/>
    <w:rsid w:val="47D57668"/>
    <w:rsid w:val="485F5097"/>
    <w:rsid w:val="48667AA9"/>
    <w:rsid w:val="48C25AE2"/>
    <w:rsid w:val="4B31437F"/>
    <w:rsid w:val="4C504EA6"/>
    <w:rsid w:val="4D2606A1"/>
    <w:rsid w:val="4DD42C22"/>
    <w:rsid w:val="4E0350FE"/>
    <w:rsid w:val="4E134A35"/>
    <w:rsid w:val="4E3D7D7E"/>
    <w:rsid w:val="4FFC0D0F"/>
    <w:rsid w:val="500E2086"/>
    <w:rsid w:val="502E378B"/>
    <w:rsid w:val="505C542A"/>
    <w:rsid w:val="50796DE0"/>
    <w:rsid w:val="51556929"/>
    <w:rsid w:val="52DC30F3"/>
    <w:rsid w:val="52EB5081"/>
    <w:rsid w:val="54873ADA"/>
    <w:rsid w:val="54947FF9"/>
    <w:rsid w:val="550409D4"/>
    <w:rsid w:val="55757413"/>
    <w:rsid w:val="56A1441D"/>
    <w:rsid w:val="56D227CA"/>
    <w:rsid w:val="56F72230"/>
    <w:rsid w:val="584B548F"/>
    <w:rsid w:val="5AA359D0"/>
    <w:rsid w:val="5C021A80"/>
    <w:rsid w:val="5C875E04"/>
    <w:rsid w:val="5CF27722"/>
    <w:rsid w:val="5DA70C36"/>
    <w:rsid w:val="5DD53C6C"/>
    <w:rsid w:val="6103059A"/>
    <w:rsid w:val="61CC5C25"/>
    <w:rsid w:val="641123E1"/>
    <w:rsid w:val="660237E8"/>
    <w:rsid w:val="676E7ECB"/>
    <w:rsid w:val="681744E0"/>
    <w:rsid w:val="6D9B1868"/>
    <w:rsid w:val="6E7C7749"/>
    <w:rsid w:val="6FA01084"/>
    <w:rsid w:val="711025B7"/>
    <w:rsid w:val="716B6B6A"/>
    <w:rsid w:val="756B57AF"/>
    <w:rsid w:val="75782102"/>
    <w:rsid w:val="767F4ACF"/>
    <w:rsid w:val="77C964F8"/>
    <w:rsid w:val="784C3649"/>
    <w:rsid w:val="7A083D0E"/>
    <w:rsid w:val="7A4A6204"/>
    <w:rsid w:val="7B5F1FCE"/>
    <w:rsid w:val="7C7B6554"/>
    <w:rsid w:val="7DD24CD9"/>
    <w:rsid w:val="7E1C4534"/>
    <w:rsid w:val="7EF42A2E"/>
    <w:rsid w:val="7EFC26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70" w:lineRule="exact"/>
      <w:jc w:val="center"/>
    </w:pPr>
    <w:rPr>
      <w:rFonts w:ascii="仿宋" w:hAnsi="仿宋" w:eastAsia="仿宋" w:cs="仿宋"/>
      <w:bCs/>
      <w:spacing w:val="-4"/>
      <w:kern w:val="2"/>
      <w:sz w:val="28"/>
      <w:szCs w:val="28"/>
      <w:lang w:val="en-US" w:eastAsia="zh-CN" w:bidi="ar-SA"/>
    </w:rPr>
  </w:style>
  <w:style w:type="paragraph" w:styleId="2">
    <w:name w:val="heading 1"/>
    <w:basedOn w:val="1"/>
    <w:next w:val="1"/>
    <w:link w:val="27"/>
    <w:qFormat/>
    <w:uiPriority w:val="9"/>
    <w:pPr>
      <w:keepNext/>
      <w:widowControl/>
      <w:spacing w:beforeLines="20"/>
      <w:jc w:val="left"/>
      <w:outlineLvl w:val="0"/>
    </w:pPr>
    <w:rPr>
      <w:rFonts w:ascii="黑体" w:hAnsi="黑体" w:eastAsia="黑体"/>
      <w:kern w:val="32"/>
      <w:sz w:val="32"/>
      <w:szCs w:val="32"/>
    </w:rPr>
  </w:style>
  <w:style w:type="paragraph" w:styleId="3">
    <w:name w:val="heading 2"/>
    <w:basedOn w:val="1"/>
    <w:next w:val="1"/>
    <w:link w:val="26"/>
    <w:unhideWhenUsed/>
    <w:qFormat/>
    <w:uiPriority w:val="9"/>
    <w:pPr>
      <w:keepNext/>
      <w:widowControl/>
      <w:jc w:val="left"/>
      <w:outlineLvl w:val="1"/>
    </w:pPr>
    <w:rPr>
      <w:rFonts w:ascii="楷体" w:hAnsi="楷体" w:eastAsia="楷体"/>
      <w:iCs/>
      <w:kern w:val="0"/>
      <w:sz w:val="32"/>
      <w:szCs w:val="32"/>
    </w:rPr>
  </w:style>
  <w:style w:type="paragraph" w:styleId="4">
    <w:name w:val="heading 3"/>
    <w:basedOn w:val="1"/>
    <w:next w:val="1"/>
    <w:link w:val="28"/>
    <w:semiHidden/>
    <w:unhideWhenUsed/>
    <w:qFormat/>
    <w:uiPriority w:val="9"/>
    <w:pPr>
      <w:keepNext/>
      <w:widowControl/>
      <w:spacing w:before="240" w:after="60"/>
      <w:jc w:val="left"/>
      <w:outlineLvl w:val="2"/>
    </w:pPr>
    <w:rPr>
      <w:rFonts w:asciiTheme="majorHAnsi" w:hAnsiTheme="majorHAnsi" w:eastAsiaTheme="majorEastAsia"/>
      <w:b/>
      <w:kern w:val="0"/>
      <w:sz w:val="26"/>
      <w:szCs w:val="26"/>
    </w:rPr>
  </w:style>
  <w:style w:type="paragraph" w:styleId="5">
    <w:name w:val="heading 4"/>
    <w:basedOn w:val="1"/>
    <w:next w:val="1"/>
    <w:link w:val="29"/>
    <w:unhideWhenUsed/>
    <w:qFormat/>
    <w:uiPriority w:val="9"/>
    <w:pPr>
      <w:keepNext/>
      <w:widowControl/>
      <w:spacing w:before="240" w:after="60"/>
      <w:jc w:val="left"/>
      <w:outlineLvl w:val="3"/>
    </w:pPr>
    <w:rPr>
      <w:rFonts w:asciiTheme="minorHAnsi" w:hAnsiTheme="minorHAnsi" w:eastAsiaTheme="minorEastAsia"/>
      <w:b/>
      <w:kern w:val="0"/>
    </w:rPr>
  </w:style>
  <w:style w:type="paragraph" w:styleId="6">
    <w:name w:val="heading 5"/>
    <w:basedOn w:val="1"/>
    <w:next w:val="1"/>
    <w:link w:val="30"/>
    <w:semiHidden/>
    <w:unhideWhenUsed/>
    <w:qFormat/>
    <w:uiPriority w:val="9"/>
    <w:pPr>
      <w:widowControl/>
      <w:spacing w:before="240" w:after="60"/>
      <w:jc w:val="left"/>
      <w:outlineLvl w:val="4"/>
    </w:pPr>
    <w:rPr>
      <w:rFonts w:asciiTheme="minorHAnsi" w:hAnsiTheme="minorHAnsi" w:eastAsiaTheme="minorEastAsia"/>
      <w:b/>
      <w:i/>
      <w:iCs/>
      <w:kern w:val="0"/>
      <w:sz w:val="26"/>
      <w:szCs w:val="26"/>
    </w:rPr>
  </w:style>
  <w:style w:type="paragraph" w:styleId="7">
    <w:name w:val="heading 6"/>
    <w:basedOn w:val="1"/>
    <w:next w:val="1"/>
    <w:link w:val="31"/>
    <w:semiHidden/>
    <w:unhideWhenUsed/>
    <w:qFormat/>
    <w:uiPriority w:val="9"/>
    <w:pPr>
      <w:widowControl/>
      <w:spacing w:before="240" w:after="60"/>
      <w:jc w:val="left"/>
      <w:outlineLvl w:val="5"/>
    </w:pPr>
    <w:rPr>
      <w:rFonts w:asciiTheme="minorHAnsi" w:hAnsiTheme="minorHAnsi" w:eastAsiaTheme="minorEastAsia"/>
      <w:b/>
      <w:kern w:val="0"/>
      <w:sz w:val="22"/>
      <w:szCs w:val="22"/>
    </w:rPr>
  </w:style>
  <w:style w:type="paragraph" w:styleId="8">
    <w:name w:val="heading 7"/>
    <w:basedOn w:val="1"/>
    <w:next w:val="1"/>
    <w:link w:val="32"/>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33"/>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4"/>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1">
    <w:name w:val="Default Paragraph Font"/>
    <w:semiHidden/>
    <w:unhideWhenUsed/>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unhideWhenUsed/>
    <w:qFormat/>
    <w:uiPriority w:val="99"/>
    <w:pPr>
      <w:jc w:val="left"/>
    </w:pPr>
  </w:style>
  <w:style w:type="paragraph" w:styleId="12">
    <w:name w:val="Balloon Text"/>
    <w:basedOn w:val="1"/>
    <w:link w:val="51"/>
    <w:semiHidden/>
    <w:unhideWhenUsed/>
    <w:qFormat/>
    <w:uiPriority w:val="99"/>
    <w:rPr>
      <w:sz w:val="18"/>
      <w:szCs w:val="18"/>
    </w:rPr>
  </w:style>
  <w:style w:type="paragraph" w:styleId="13">
    <w:name w:val="footer"/>
    <w:basedOn w:val="1"/>
    <w:link w:val="50"/>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9"/>
    <w:unhideWhenUsed/>
    <w:qFormat/>
    <w:uiPriority w:val="99"/>
    <w:pPr>
      <w:pBdr>
        <w:bottom w:val="single" w:color="auto" w:sz="6" w:space="1"/>
      </w:pBdr>
      <w:tabs>
        <w:tab w:val="center" w:pos="4153"/>
        <w:tab w:val="right" w:pos="8306"/>
      </w:tabs>
      <w:snapToGrid w:val="0"/>
    </w:pPr>
    <w:rPr>
      <w:rFonts w:ascii="Calibri" w:hAnsi="Calibri"/>
      <w:sz w:val="18"/>
      <w:szCs w:val="18"/>
    </w:rPr>
  </w:style>
  <w:style w:type="paragraph" w:styleId="15">
    <w:name w:val="toc 1"/>
    <w:basedOn w:val="1"/>
    <w:next w:val="1"/>
    <w:unhideWhenUsed/>
    <w:qFormat/>
    <w:uiPriority w:val="39"/>
  </w:style>
  <w:style w:type="paragraph" w:styleId="16">
    <w:name w:val="Subtitle"/>
    <w:basedOn w:val="1"/>
    <w:next w:val="1"/>
    <w:link w:val="36"/>
    <w:qFormat/>
    <w:uiPriority w:val="11"/>
    <w:pPr>
      <w:widowControl/>
      <w:spacing w:after="60"/>
      <w:outlineLvl w:val="1"/>
    </w:pPr>
    <w:rPr>
      <w:rFonts w:asciiTheme="majorHAnsi" w:hAnsiTheme="majorHAnsi" w:eastAsiaTheme="majorEastAsia"/>
      <w:kern w:val="0"/>
      <w:sz w:val="24"/>
    </w:rPr>
  </w:style>
  <w:style w:type="paragraph" w:styleId="17">
    <w:name w:val="toc 2"/>
    <w:basedOn w:val="1"/>
    <w:next w:val="1"/>
    <w:unhideWhenUsed/>
    <w:qFormat/>
    <w:uiPriority w:val="39"/>
    <w:pPr>
      <w:ind w:left="420" w:leftChars="200"/>
    </w:pPr>
  </w:style>
  <w:style w:type="paragraph" w:styleId="18">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19">
    <w:name w:val="Title"/>
    <w:basedOn w:val="1"/>
    <w:next w:val="1"/>
    <w:link w:val="35"/>
    <w:qFormat/>
    <w:uiPriority w:val="10"/>
    <w:pPr>
      <w:widowControl/>
      <w:spacing w:before="240" w:after="60"/>
      <w:outlineLvl w:val="0"/>
    </w:pPr>
    <w:rPr>
      <w:rFonts w:asciiTheme="majorHAnsi" w:hAnsiTheme="majorHAnsi" w:eastAsiaTheme="majorEastAsia"/>
    </w:rPr>
  </w:style>
  <w:style w:type="character" w:styleId="22">
    <w:name w:val="Strong"/>
    <w:basedOn w:val="21"/>
    <w:qFormat/>
    <w:uiPriority w:val="0"/>
    <w:rPr>
      <w:b/>
      <w:bCs/>
    </w:rPr>
  </w:style>
  <w:style w:type="character" w:styleId="23">
    <w:name w:val="Emphasis"/>
    <w:basedOn w:val="21"/>
    <w:qFormat/>
    <w:uiPriority w:val="20"/>
    <w:rPr>
      <w:rFonts w:asciiTheme="minorHAnsi" w:hAnsiTheme="minorHAnsi"/>
      <w:b/>
      <w:i/>
      <w:iCs/>
    </w:rPr>
  </w:style>
  <w:style w:type="character" w:styleId="24">
    <w:name w:val="Hyperlink"/>
    <w:basedOn w:val="21"/>
    <w:unhideWhenUsed/>
    <w:qFormat/>
    <w:uiPriority w:val="99"/>
    <w:rPr>
      <w:color w:val="0000FF" w:themeColor="hyperlink"/>
      <w:u w:val="single"/>
    </w:rPr>
  </w:style>
  <w:style w:type="character" w:styleId="25">
    <w:name w:val="annotation reference"/>
    <w:basedOn w:val="21"/>
    <w:semiHidden/>
    <w:unhideWhenUsed/>
    <w:qFormat/>
    <w:uiPriority w:val="99"/>
    <w:rPr>
      <w:sz w:val="21"/>
      <w:szCs w:val="21"/>
    </w:rPr>
  </w:style>
  <w:style w:type="character" w:customStyle="1" w:styleId="26">
    <w:name w:val="标题 2 Char"/>
    <w:basedOn w:val="21"/>
    <w:link w:val="3"/>
    <w:qFormat/>
    <w:uiPriority w:val="9"/>
    <w:rPr>
      <w:rFonts w:ascii="楷体" w:hAnsi="楷体" w:eastAsia="楷体" w:cs="仿宋"/>
      <w:bCs/>
      <w:iCs/>
      <w:spacing w:val="-4"/>
      <w:sz w:val="32"/>
      <w:szCs w:val="32"/>
    </w:rPr>
  </w:style>
  <w:style w:type="character" w:customStyle="1" w:styleId="27">
    <w:name w:val="标题 1 Char"/>
    <w:basedOn w:val="21"/>
    <w:link w:val="2"/>
    <w:qFormat/>
    <w:uiPriority w:val="9"/>
    <w:rPr>
      <w:rFonts w:ascii="黑体" w:hAnsi="黑体" w:eastAsia="黑体" w:cs="仿宋"/>
      <w:bCs/>
      <w:spacing w:val="-4"/>
      <w:kern w:val="32"/>
      <w:sz w:val="32"/>
      <w:szCs w:val="32"/>
    </w:rPr>
  </w:style>
  <w:style w:type="character" w:customStyle="1" w:styleId="28">
    <w:name w:val="标题 3 Char"/>
    <w:basedOn w:val="21"/>
    <w:link w:val="4"/>
    <w:semiHidden/>
    <w:qFormat/>
    <w:uiPriority w:val="9"/>
    <w:rPr>
      <w:rFonts w:asciiTheme="majorHAnsi" w:hAnsiTheme="majorHAnsi" w:eastAsiaTheme="majorEastAsia"/>
      <w:b/>
      <w:bCs/>
      <w:sz w:val="26"/>
      <w:szCs w:val="26"/>
    </w:rPr>
  </w:style>
  <w:style w:type="character" w:customStyle="1" w:styleId="29">
    <w:name w:val="标题 4 Char"/>
    <w:basedOn w:val="21"/>
    <w:link w:val="5"/>
    <w:qFormat/>
    <w:uiPriority w:val="9"/>
    <w:rPr>
      <w:b/>
      <w:bCs/>
      <w:sz w:val="28"/>
      <w:szCs w:val="28"/>
    </w:rPr>
  </w:style>
  <w:style w:type="character" w:customStyle="1" w:styleId="30">
    <w:name w:val="标题 5 Char"/>
    <w:basedOn w:val="21"/>
    <w:link w:val="6"/>
    <w:semiHidden/>
    <w:qFormat/>
    <w:uiPriority w:val="9"/>
    <w:rPr>
      <w:b/>
      <w:bCs/>
      <w:i/>
      <w:iCs/>
      <w:sz w:val="26"/>
      <w:szCs w:val="26"/>
    </w:rPr>
  </w:style>
  <w:style w:type="character" w:customStyle="1" w:styleId="31">
    <w:name w:val="标题 6 Char"/>
    <w:basedOn w:val="21"/>
    <w:link w:val="7"/>
    <w:semiHidden/>
    <w:qFormat/>
    <w:uiPriority w:val="9"/>
    <w:rPr>
      <w:b/>
      <w:bCs/>
    </w:rPr>
  </w:style>
  <w:style w:type="character" w:customStyle="1" w:styleId="32">
    <w:name w:val="标题 7 Char"/>
    <w:basedOn w:val="21"/>
    <w:link w:val="8"/>
    <w:semiHidden/>
    <w:qFormat/>
    <w:uiPriority w:val="9"/>
    <w:rPr>
      <w:sz w:val="24"/>
      <w:szCs w:val="24"/>
    </w:rPr>
  </w:style>
  <w:style w:type="character" w:customStyle="1" w:styleId="33">
    <w:name w:val="标题 8 Char"/>
    <w:basedOn w:val="21"/>
    <w:link w:val="9"/>
    <w:semiHidden/>
    <w:qFormat/>
    <w:uiPriority w:val="9"/>
    <w:rPr>
      <w:i/>
      <w:iCs/>
      <w:sz w:val="24"/>
      <w:szCs w:val="24"/>
    </w:rPr>
  </w:style>
  <w:style w:type="character" w:customStyle="1" w:styleId="34">
    <w:name w:val="标题 9 Char"/>
    <w:basedOn w:val="21"/>
    <w:link w:val="10"/>
    <w:semiHidden/>
    <w:qFormat/>
    <w:uiPriority w:val="9"/>
    <w:rPr>
      <w:rFonts w:asciiTheme="majorHAnsi" w:hAnsiTheme="majorHAnsi" w:eastAsiaTheme="majorEastAsia"/>
    </w:rPr>
  </w:style>
  <w:style w:type="character" w:customStyle="1" w:styleId="35">
    <w:name w:val="标题 Char"/>
    <w:basedOn w:val="21"/>
    <w:link w:val="19"/>
    <w:qFormat/>
    <w:uiPriority w:val="10"/>
    <w:rPr>
      <w:rFonts w:cs="黑体" w:asciiTheme="majorHAnsi" w:hAnsiTheme="majorHAnsi" w:eastAsiaTheme="majorEastAsia"/>
      <w:bCs/>
      <w:spacing w:val="-4"/>
      <w:kern w:val="2"/>
      <w:sz w:val="32"/>
      <w:szCs w:val="32"/>
    </w:rPr>
  </w:style>
  <w:style w:type="character" w:customStyle="1" w:styleId="36">
    <w:name w:val="副标题 Char"/>
    <w:basedOn w:val="21"/>
    <w:link w:val="16"/>
    <w:qFormat/>
    <w:uiPriority w:val="11"/>
    <w:rPr>
      <w:rFonts w:asciiTheme="majorHAnsi" w:hAnsiTheme="majorHAnsi" w:eastAsiaTheme="majorEastAsia"/>
      <w:sz w:val="24"/>
      <w:szCs w:val="24"/>
    </w:rPr>
  </w:style>
  <w:style w:type="paragraph" w:styleId="37">
    <w:name w:val="No Spacing"/>
    <w:basedOn w:val="1"/>
    <w:qFormat/>
    <w:uiPriority w:val="1"/>
    <w:pPr>
      <w:widowControl/>
      <w:jc w:val="left"/>
    </w:pPr>
    <w:rPr>
      <w:rFonts w:asciiTheme="minorHAnsi" w:hAnsiTheme="minorHAnsi" w:eastAsiaTheme="minorEastAsia"/>
      <w:kern w:val="0"/>
      <w:sz w:val="24"/>
      <w:lang w:eastAsia="en-US" w:bidi="en-US"/>
    </w:rPr>
  </w:style>
  <w:style w:type="paragraph" w:styleId="38">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9">
    <w:name w:val="Quote"/>
    <w:basedOn w:val="1"/>
    <w:next w:val="1"/>
    <w:link w:val="40"/>
    <w:qFormat/>
    <w:uiPriority w:val="29"/>
    <w:pPr>
      <w:widowControl/>
      <w:jc w:val="left"/>
    </w:pPr>
    <w:rPr>
      <w:rFonts w:asciiTheme="minorHAnsi" w:hAnsiTheme="minorHAnsi" w:eastAsiaTheme="minorEastAsia"/>
      <w:i/>
      <w:kern w:val="0"/>
      <w:sz w:val="24"/>
    </w:rPr>
  </w:style>
  <w:style w:type="character" w:customStyle="1" w:styleId="40">
    <w:name w:val="引用 Char"/>
    <w:basedOn w:val="21"/>
    <w:link w:val="39"/>
    <w:qFormat/>
    <w:uiPriority w:val="29"/>
    <w:rPr>
      <w:i/>
      <w:sz w:val="24"/>
      <w:szCs w:val="24"/>
    </w:rPr>
  </w:style>
  <w:style w:type="paragraph" w:styleId="41">
    <w:name w:val="Intense Quote"/>
    <w:basedOn w:val="1"/>
    <w:next w:val="1"/>
    <w:link w:val="42"/>
    <w:qFormat/>
    <w:uiPriority w:val="30"/>
    <w:pPr>
      <w:widowControl/>
      <w:ind w:left="720" w:right="720"/>
      <w:jc w:val="left"/>
    </w:pPr>
    <w:rPr>
      <w:rFonts w:asciiTheme="minorHAnsi" w:hAnsiTheme="minorHAnsi" w:eastAsiaTheme="minorEastAsia"/>
      <w:b/>
      <w:i/>
      <w:kern w:val="0"/>
      <w:sz w:val="24"/>
      <w:szCs w:val="22"/>
    </w:rPr>
  </w:style>
  <w:style w:type="character" w:customStyle="1" w:styleId="42">
    <w:name w:val="明显引用 Char"/>
    <w:basedOn w:val="21"/>
    <w:link w:val="41"/>
    <w:qFormat/>
    <w:uiPriority w:val="30"/>
    <w:rPr>
      <w:b/>
      <w:i/>
      <w:sz w:val="24"/>
    </w:rPr>
  </w:style>
  <w:style w:type="character" w:customStyle="1" w:styleId="43">
    <w:name w:val="不明显强调1"/>
    <w:qFormat/>
    <w:uiPriority w:val="19"/>
    <w:rPr>
      <w:i/>
      <w:color w:val="585858" w:themeColor="text1" w:themeTint="A6"/>
    </w:rPr>
  </w:style>
  <w:style w:type="character" w:customStyle="1" w:styleId="44">
    <w:name w:val="明显强调1"/>
    <w:basedOn w:val="21"/>
    <w:qFormat/>
    <w:uiPriority w:val="21"/>
    <w:rPr>
      <w:b/>
      <w:i/>
      <w:sz w:val="24"/>
      <w:szCs w:val="24"/>
      <w:u w:val="single"/>
    </w:rPr>
  </w:style>
  <w:style w:type="character" w:customStyle="1" w:styleId="45">
    <w:name w:val="不明显参考1"/>
    <w:basedOn w:val="21"/>
    <w:qFormat/>
    <w:uiPriority w:val="31"/>
    <w:rPr>
      <w:sz w:val="24"/>
      <w:szCs w:val="24"/>
      <w:u w:val="single"/>
    </w:rPr>
  </w:style>
  <w:style w:type="character" w:customStyle="1" w:styleId="46">
    <w:name w:val="明显参考1"/>
    <w:basedOn w:val="21"/>
    <w:qFormat/>
    <w:uiPriority w:val="32"/>
    <w:rPr>
      <w:b/>
      <w:sz w:val="24"/>
      <w:u w:val="single"/>
    </w:rPr>
  </w:style>
  <w:style w:type="character" w:customStyle="1" w:styleId="47">
    <w:name w:val="书籍标题1"/>
    <w:basedOn w:val="21"/>
    <w:qFormat/>
    <w:uiPriority w:val="33"/>
    <w:rPr>
      <w:rFonts w:asciiTheme="majorHAnsi" w:hAnsiTheme="majorHAnsi" w:eastAsiaTheme="majorEastAsia"/>
      <w:b/>
      <w:i/>
      <w:sz w:val="24"/>
      <w:szCs w:val="24"/>
    </w:rPr>
  </w:style>
  <w:style w:type="paragraph" w:customStyle="1" w:styleId="48">
    <w:name w:val="TOC 标题1"/>
    <w:basedOn w:val="2"/>
    <w:next w:val="1"/>
    <w:semiHidden/>
    <w:unhideWhenUsed/>
    <w:qFormat/>
    <w:uiPriority w:val="39"/>
    <w:pPr>
      <w:outlineLvl w:val="9"/>
    </w:pPr>
    <w:rPr>
      <w:lang w:eastAsia="en-US" w:bidi="en-US"/>
    </w:rPr>
  </w:style>
  <w:style w:type="character" w:customStyle="1" w:styleId="49">
    <w:name w:val="页眉 Char"/>
    <w:basedOn w:val="21"/>
    <w:link w:val="14"/>
    <w:qFormat/>
    <w:uiPriority w:val="99"/>
    <w:rPr>
      <w:rFonts w:ascii="Calibri" w:hAnsi="Calibri" w:eastAsia="宋体"/>
      <w:kern w:val="2"/>
      <w:sz w:val="18"/>
      <w:szCs w:val="18"/>
    </w:rPr>
  </w:style>
  <w:style w:type="character" w:customStyle="1" w:styleId="50">
    <w:name w:val="页脚 Char"/>
    <w:basedOn w:val="21"/>
    <w:link w:val="13"/>
    <w:qFormat/>
    <w:uiPriority w:val="99"/>
    <w:rPr>
      <w:rFonts w:ascii="Calibri" w:hAnsi="Calibri" w:eastAsia="宋体"/>
      <w:kern w:val="2"/>
      <w:sz w:val="18"/>
      <w:szCs w:val="18"/>
    </w:rPr>
  </w:style>
  <w:style w:type="character" w:customStyle="1" w:styleId="51">
    <w:name w:val="批注框文本 Char"/>
    <w:basedOn w:val="21"/>
    <w:link w:val="12"/>
    <w:semiHidden/>
    <w:qFormat/>
    <w:uiPriority w:val="99"/>
    <w:rPr>
      <w:rFonts w:ascii="Times New Roman" w:hAnsi="Times New Roman" w:eastAsia="宋体"/>
      <w:kern w:val="2"/>
      <w:sz w:val="18"/>
      <w:szCs w:val="18"/>
    </w:rPr>
  </w:style>
  <w:style w:type="paragraph" w:customStyle="1" w:styleId="52">
    <w:name w:val="闻政-正文段落文字"/>
    <w:basedOn w:val="1"/>
    <w:qFormat/>
    <w:uiPriority w:val="3"/>
    <w:pPr>
      <w:spacing w:line="500" w:lineRule="exact"/>
      <w:ind w:firstLine="200"/>
    </w:pPr>
    <w:rPr>
      <w:rFonts w:cs="Times New Roman"/>
      <w:kern w:val="0"/>
    </w:rPr>
  </w:style>
  <w:style w:type="paragraph" w:customStyle="1" w:styleId="53">
    <w:name w:val="闻政-正文二级标题"/>
    <w:basedOn w:val="3"/>
    <w:next w:val="52"/>
    <w:qFormat/>
    <w:uiPriority w:val="3"/>
    <w:pPr>
      <w:spacing w:before="120" w:line="500" w:lineRule="exact"/>
      <w:ind w:left="200" w:leftChars="200"/>
    </w:pPr>
    <w:rPr>
      <w:rFonts w:ascii="Times New Roman" w:hAnsi="Times New Roman"/>
    </w:rPr>
  </w:style>
  <w:style w:type="paragraph" w:customStyle="1" w:styleId="54">
    <w:name w:val="闻政-正文一级标题"/>
    <w:basedOn w:val="4"/>
    <w:next w:val="52"/>
    <w:qFormat/>
    <w:uiPriority w:val="3"/>
    <w:pPr>
      <w:spacing w:before="120" w:line="500" w:lineRule="exact"/>
      <w:outlineLvl w:val="0"/>
    </w:pPr>
    <w:rPr>
      <w:rFonts w:ascii="黑体" w:hAnsi="黑体" w:eastAsia="黑体"/>
      <w:sz w:val="32"/>
    </w:rPr>
  </w:style>
  <w:style w:type="paragraph" w:customStyle="1" w:styleId="55">
    <w:name w:val="闻政-正文三级标题"/>
    <w:basedOn w:val="1"/>
    <w:next w:val="52"/>
    <w:qFormat/>
    <w:uiPriority w:val="3"/>
    <w:pPr>
      <w:widowControl/>
      <w:spacing w:before="120" w:after="60" w:line="500" w:lineRule="exact"/>
      <w:ind w:firstLine="708" w:firstLineChars="227"/>
    </w:pPr>
    <w:rPr>
      <w:rFonts w:ascii="Times New Roman" w:hAnsi="Times New Roman" w:cs="Times New Roman"/>
      <w:kern w:val="0"/>
    </w:rPr>
  </w:style>
  <w:style w:type="character" w:customStyle="1" w:styleId="56">
    <w:name w:val="font41"/>
    <w:basedOn w:val="21"/>
    <w:qFormat/>
    <w:uiPriority w:val="0"/>
    <w:rPr>
      <w:rFonts w:hint="eastAsia" w:ascii="方正仿宋_GBK" w:hAnsi="方正仿宋_GBK" w:eastAsia="方正仿宋_GBK" w:cs="方正仿宋_GBK"/>
      <w:color w:val="000000"/>
      <w:sz w:val="24"/>
      <w:szCs w:val="24"/>
      <w:u w:val="none"/>
    </w:rPr>
  </w:style>
  <w:style w:type="character" w:customStyle="1" w:styleId="57">
    <w:name w:val="font51"/>
    <w:basedOn w:val="21"/>
    <w:qFormat/>
    <w:uiPriority w:val="0"/>
    <w:rPr>
      <w:rFonts w:hint="default" w:ascii="Times New Roman" w:hAnsi="Times New Roman" w:cs="Times New Roman"/>
      <w:color w:val="000000"/>
      <w:sz w:val="24"/>
      <w:szCs w:val="24"/>
      <w:u w:val="none"/>
    </w:rPr>
  </w:style>
  <w:style w:type="character" w:customStyle="1" w:styleId="58">
    <w:name w:val="font61"/>
    <w:basedOn w:val="21"/>
    <w:qFormat/>
    <w:uiPriority w:val="0"/>
    <w:rPr>
      <w:rFonts w:hint="eastAsia" w:ascii="方正仿宋_GBK" w:hAnsi="方正仿宋_GBK" w:eastAsia="方正仿宋_GBK" w:cs="方正仿宋_GBK"/>
      <w:color w:val="000000"/>
      <w:sz w:val="24"/>
      <w:szCs w:val="24"/>
      <w:u w:val="none"/>
    </w:rPr>
  </w:style>
  <w:style w:type="character" w:customStyle="1" w:styleId="59">
    <w:name w:val="font71"/>
    <w:basedOn w:val="21"/>
    <w:qFormat/>
    <w:uiPriority w:val="0"/>
    <w:rPr>
      <w:rFonts w:hint="eastAsia" w:ascii="宋体" w:hAnsi="宋体" w:eastAsia="宋体" w:cs="宋体"/>
      <w:color w:val="000000"/>
      <w:sz w:val="24"/>
      <w:szCs w:val="24"/>
      <w:u w:val="none"/>
    </w:rPr>
  </w:style>
  <w:style w:type="paragraph" w:customStyle="1" w:styleId="60">
    <w:name w:val="TOC 标题2"/>
    <w:basedOn w:val="2"/>
    <w:next w:val="1"/>
    <w:unhideWhenUsed/>
    <w:qFormat/>
    <w:uiPriority w:val="39"/>
    <w:pPr>
      <w:keepLines/>
      <w:spacing w:before="480" w:line="276" w:lineRule="auto"/>
      <w:outlineLvl w:val="9"/>
    </w:pPr>
    <w:rPr>
      <w:rFonts w:asciiTheme="majorHAnsi" w:hAnsiTheme="majorHAnsi" w:eastAsiaTheme="majorEastAsia" w:cstheme="majorBidi"/>
      <w:b/>
      <w:color w:val="366091" w:themeColor="accent1" w:themeShade="BF"/>
      <w:spacing w:val="0"/>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21B46D8-25E8-429E-8EFE-8A83C70F0289}">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26</Pages>
  <Words>12794</Words>
  <Characters>13507</Characters>
  <Lines>109</Lines>
  <Paragraphs>30</Paragraphs>
  <TotalTime>2</TotalTime>
  <ScaleCrop>false</ScaleCrop>
  <LinksUpToDate>false</LinksUpToDate>
  <CharactersWithSpaces>13634</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2024-08-20T10:05:00Z</dcterms:created>
  <dc:creator>赵 恺（预算处）</dc:creator>
  <cp:lastModifiedBy>lenovo</cp:lastModifiedBy>
  <cp:lastPrinted>2024-04-07T11:40:00Z</cp:lastPrinted>
  <dcterms:modified xsi:type="dcterms:W3CDTF">2024-09-19T03:37:00Z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916515D369C245B6BA9B3FA671CBBDC7_13</vt:lpwstr>
  </property>
</Properties>
</file>